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209" w14:textId="0C687255" w:rsidR="003E4E61" w:rsidRDefault="003E4E61" w:rsidP="003E4E61">
      <w:pPr>
        <w:spacing w:line="240" w:lineRule="auto"/>
        <w:jc w:val="right"/>
      </w:pPr>
      <w:r w:rsidRPr="00011C41">
        <w:rPr>
          <w:rFonts w:ascii="Times New Roman" w:eastAsia="Times New Roman" w:hAnsi="Times New Roman" w:cs="Times New Roman"/>
          <w:sz w:val="24"/>
          <w:szCs w:val="24"/>
          <w:lang w:eastAsia="en-GB"/>
        </w:rPr>
        <w:fldChar w:fldCharType="begin"/>
      </w:r>
      <w:r w:rsidR="00FD037A">
        <w:rPr>
          <w:rFonts w:ascii="Times New Roman" w:eastAsia="Times New Roman" w:hAnsi="Times New Roman" w:cs="Times New Roman"/>
          <w:sz w:val="24"/>
          <w:szCs w:val="24"/>
          <w:lang w:eastAsia="en-GB"/>
        </w:rPr>
        <w:instrText xml:space="preserve"> INCLUDEPICTURE "C:\\Users\\willsimp\\Library\\Group Containers\\UBF8T346G9.ms\\WebArchiveCopyPasteTempFiles\\com.microsoft.Word\\page1image224698800" \* MERGEFORMAT </w:instrText>
      </w:r>
      <w:r w:rsidRPr="00011C41">
        <w:rPr>
          <w:rFonts w:ascii="Times New Roman" w:eastAsia="Times New Roman" w:hAnsi="Times New Roman" w:cs="Times New Roman"/>
          <w:sz w:val="24"/>
          <w:szCs w:val="24"/>
          <w:lang w:eastAsia="en-GB"/>
        </w:rPr>
        <w:fldChar w:fldCharType="separate"/>
      </w:r>
      <w:r w:rsidRPr="00011C41">
        <w:rPr>
          <w:rFonts w:ascii="Times New Roman" w:eastAsia="Times New Roman" w:hAnsi="Times New Roman" w:cs="Times New Roman"/>
          <w:noProof/>
          <w:sz w:val="24"/>
          <w:szCs w:val="24"/>
          <w:lang w:eastAsia="en-GB"/>
        </w:rPr>
        <w:drawing>
          <wp:inline distT="0" distB="0" distL="0" distR="0" wp14:anchorId="022CF2BF" wp14:editId="11693539">
            <wp:extent cx="5461000" cy="889000"/>
            <wp:effectExtent l="0" t="0" r="0" b="0"/>
            <wp:docPr id="1234373084" name="Picture 1" descr="page1image22469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4698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0" cy="889000"/>
                    </a:xfrm>
                    <a:prstGeom prst="rect">
                      <a:avLst/>
                    </a:prstGeom>
                    <a:noFill/>
                    <a:ln>
                      <a:noFill/>
                    </a:ln>
                  </pic:spPr>
                </pic:pic>
              </a:graphicData>
            </a:graphic>
          </wp:inline>
        </w:drawing>
      </w:r>
      <w:r w:rsidRPr="00011C41">
        <w:rPr>
          <w:rFonts w:ascii="Times New Roman" w:eastAsia="Times New Roman" w:hAnsi="Times New Roman" w:cs="Times New Roman"/>
          <w:sz w:val="24"/>
          <w:szCs w:val="24"/>
          <w:lang w:eastAsia="en-GB"/>
        </w:rPr>
        <w:fldChar w:fldCharType="end"/>
      </w:r>
      <w:r w:rsidRPr="003E4E61">
        <w:t xml:space="preserve"> </w:t>
      </w:r>
      <w:r>
        <w:t xml:space="preserve">   c/</w:t>
      </w:r>
      <w:proofErr w:type="gramStart"/>
      <w:r>
        <w:t>o  Hon.</w:t>
      </w:r>
      <w:proofErr w:type="gramEnd"/>
      <w:r>
        <w:t xml:space="preserve"> Secretary</w:t>
      </w:r>
    </w:p>
    <w:p w14:paraId="7B3DC880" w14:textId="77777777" w:rsidR="003E4E61" w:rsidRDefault="003E4E61" w:rsidP="003E4E61">
      <w:pPr>
        <w:spacing w:line="240" w:lineRule="auto"/>
        <w:jc w:val="right"/>
      </w:pPr>
      <w:r>
        <w:t>Three Corners</w:t>
      </w:r>
    </w:p>
    <w:p w14:paraId="0C41D069" w14:textId="77777777" w:rsidR="003E4E61" w:rsidRPr="0033002B" w:rsidRDefault="003E4E61" w:rsidP="003E4E61">
      <w:pPr>
        <w:spacing w:line="240" w:lineRule="auto"/>
        <w:jc w:val="right"/>
        <w:rPr>
          <w:lang w:val="fr-FR"/>
        </w:rPr>
      </w:pPr>
      <w:r w:rsidRPr="0033002B">
        <w:rPr>
          <w:lang w:val="fr-FR"/>
        </w:rPr>
        <w:t>La Rue de la Blanche Pierre</w:t>
      </w:r>
    </w:p>
    <w:p w14:paraId="124CF183" w14:textId="77777777" w:rsidR="003E4E61" w:rsidRDefault="003E4E61" w:rsidP="003E4E61">
      <w:pPr>
        <w:spacing w:line="240" w:lineRule="auto"/>
        <w:jc w:val="right"/>
      </w:pPr>
      <w:r>
        <w:t>St Lawrence JE3 1EA</w:t>
      </w:r>
    </w:p>
    <w:p w14:paraId="7896C8E1" w14:textId="508826FF" w:rsidR="00982DD7" w:rsidRDefault="00982DD7" w:rsidP="003E4E61">
      <w:pPr>
        <w:spacing w:line="240" w:lineRule="auto"/>
      </w:pPr>
      <w:r>
        <w:t>Mr Matt Thomas</w:t>
      </w:r>
    </w:p>
    <w:p w14:paraId="4BA557FF" w14:textId="77777777" w:rsidR="00982DD7" w:rsidRDefault="00982DD7" w:rsidP="004F5C73">
      <w:pPr>
        <w:spacing w:line="240" w:lineRule="auto"/>
      </w:pPr>
      <w:r>
        <w:t>Chief Executive Officer</w:t>
      </w:r>
    </w:p>
    <w:p w14:paraId="212DC002" w14:textId="77777777" w:rsidR="00982DD7" w:rsidRDefault="00982DD7" w:rsidP="004F5C73">
      <w:pPr>
        <w:spacing w:line="240" w:lineRule="auto"/>
      </w:pPr>
      <w:r>
        <w:t xml:space="preserve">Ports of Jersey </w:t>
      </w:r>
    </w:p>
    <w:p w14:paraId="732BD58E" w14:textId="77777777" w:rsidR="00982DD7" w:rsidRDefault="00982DD7" w:rsidP="004F5C73">
      <w:pPr>
        <w:spacing w:line="240" w:lineRule="auto"/>
      </w:pPr>
      <w:r>
        <w:t xml:space="preserve">St Peter </w:t>
      </w:r>
    </w:p>
    <w:p w14:paraId="73AC97B4" w14:textId="77777777" w:rsidR="00982DD7" w:rsidRDefault="00982DD7" w:rsidP="004F5C73">
      <w:pPr>
        <w:spacing w:line="240" w:lineRule="auto"/>
      </w:pPr>
      <w:r>
        <w:t xml:space="preserve">Jersey JE1 1BY </w:t>
      </w:r>
    </w:p>
    <w:p w14:paraId="3F44BC9E" w14:textId="2CD9DF25" w:rsidR="00982DD7" w:rsidRDefault="00982DD7" w:rsidP="004F5C73">
      <w:pPr>
        <w:spacing w:line="240" w:lineRule="auto"/>
        <w:rPr>
          <w:u w:val="single"/>
        </w:rPr>
      </w:pPr>
      <w:r w:rsidRPr="00982DD7">
        <w:rPr>
          <w:u w:val="single"/>
        </w:rPr>
        <w:t xml:space="preserve">BY EMAIL  </w:t>
      </w:r>
    </w:p>
    <w:p w14:paraId="3D525CE4" w14:textId="1BC2777D" w:rsidR="003E4E61" w:rsidRDefault="003E4E61" w:rsidP="004F5C73">
      <w:pPr>
        <w:spacing w:line="240" w:lineRule="auto"/>
        <w:rPr>
          <w:u w:val="single"/>
        </w:rPr>
      </w:pPr>
    </w:p>
    <w:p w14:paraId="0E6EB607" w14:textId="5AD86508" w:rsidR="003E4E61" w:rsidRPr="003E4E61" w:rsidRDefault="003E4E61" w:rsidP="004F5C73">
      <w:pPr>
        <w:spacing w:line="240" w:lineRule="auto"/>
      </w:pPr>
      <w:r w:rsidRPr="003E4E61">
        <w:t>Thursday 7 December 2023</w:t>
      </w:r>
    </w:p>
    <w:p w14:paraId="40601412" w14:textId="77777777" w:rsidR="003E4E61" w:rsidRPr="00982DD7" w:rsidRDefault="003E4E61" w:rsidP="004F5C73">
      <w:pPr>
        <w:spacing w:line="240" w:lineRule="auto"/>
        <w:rPr>
          <w:u w:val="single"/>
        </w:rPr>
      </w:pPr>
    </w:p>
    <w:p w14:paraId="4B04C659" w14:textId="77777777" w:rsidR="00B72BE6" w:rsidRDefault="00B72BE6" w:rsidP="00B72BE6">
      <w:pPr>
        <w:pStyle w:val="ListParagraph"/>
        <w:ind w:left="0"/>
        <w:rPr>
          <w:sz w:val="20"/>
          <w:szCs w:val="20"/>
        </w:rPr>
      </w:pPr>
      <w:proofErr w:type="gramStart"/>
      <w:r>
        <w:rPr>
          <w:sz w:val="20"/>
          <w:szCs w:val="20"/>
        </w:rPr>
        <w:t xml:space="preserve">Dear </w:t>
      </w:r>
      <w:r w:rsidR="00982DD7">
        <w:rPr>
          <w:sz w:val="20"/>
          <w:szCs w:val="20"/>
        </w:rPr>
        <w:t xml:space="preserve"> Mr</w:t>
      </w:r>
      <w:proofErr w:type="gramEnd"/>
      <w:r w:rsidR="00982DD7">
        <w:rPr>
          <w:sz w:val="20"/>
          <w:szCs w:val="20"/>
        </w:rPr>
        <w:t xml:space="preserve"> Thomas</w:t>
      </w:r>
    </w:p>
    <w:p w14:paraId="113A3314" w14:textId="77777777" w:rsidR="00B72BE6" w:rsidRDefault="00B72BE6" w:rsidP="00B72BE6">
      <w:pPr>
        <w:pStyle w:val="ListParagraph"/>
        <w:ind w:left="0"/>
        <w:rPr>
          <w:sz w:val="20"/>
          <w:szCs w:val="20"/>
        </w:rPr>
      </w:pPr>
    </w:p>
    <w:p w14:paraId="00C64B94" w14:textId="77777777" w:rsidR="00620F4D" w:rsidRPr="00620F4D" w:rsidRDefault="00B72BE6" w:rsidP="00620F4D">
      <w:pPr>
        <w:pStyle w:val="ListParagraph"/>
        <w:ind w:left="0"/>
        <w:rPr>
          <w:sz w:val="20"/>
          <w:szCs w:val="20"/>
        </w:rPr>
      </w:pPr>
      <w:r>
        <w:rPr>
          <w:sz w:val="20"/>
          <w:szCs w:val="20"/>
        </w:rPr>
        <w:t xml:space="preserve">We are writing to you </w:t>
      </w:r>
      <w:r w:rsidR="00982DD7">
        <w:rPr>
          <w:sz w:val="20"/>
          <w:szCs w:val="20"/>
        </w:rPr>
        <w:t>on behalf of our members, in response to your communication on 24 November regarding the annual fees increase.</w:t>
      </w:r>
    </w:p>
    <w:p w14:paraId="524E20EA" w14:textId="77777777" w:rsidR="00140175" w:rsidRDefault="00620F4D" w:rsidP="00620F4D">
      <w:pPr>
        <w:rPr>
          <w:sz w:val="20"/>
          <w:szCs w:val="20"/>
        </w:rPr>
      </w:pPr>
      <w:r w:rsidRPr="00471247">
        <w:rPr>
          <w:sz w:val="20"/>
          <w:szCs w:val="20"/>
        </w:rPr>
        <w:t xml:space="preserve">Jersey is an island </w:t>
      </w:r>
      <w:proofErr w:type="gramStart"/>
      <w:r w:rsidRPr="00471247">
        <w:rPr>
          <w:sz w:val="20"/>
          <w:szCs w:val="20"/>
        </w:rPr>
        <w:t>state</w:t>
      </w:r>
      <w:r>
        <w:rPr>
          <w:sz w:val="20"/>
          <w:szCs w:val="20"/>
        </w:rPr>
        <w:t>, and</w:t>
      </w:r>
      <w:proofErr w:type="gramEnd"/>
      <w:r>
        <w:rPr>
          <w:sz w:val="20"/>
          <w:szCs w:val="20"/>
        </w:rPr>
        <w:t xml:space="preserve"> owning a boat and using it to go fishing, head to the </w:t>
      </w:r>
      <w:proofErr w:type="spellStart"/>
      <w:r>
        <w:rPr>
          <w:sz w:val="20"/>
          <w:szCs w:val="20"/>
        </w:rPr>
        <w:t>Minquiers</w:t>
      </w:r>
      <w:proofErr w:type="spellEnd"/>
      <w:r>
        <w:rPr>
          <w:sz w:val="20"/>
          <w:szCs w:val="20"/>
        </w:rPr>
        <w:t xml:space="preserve"> or Les </w:t>
      </w:r>
      <w:proofErr w:type="spellStart"/>
      <w:r>
        <w:rPr>
          <w:sz w:val="20"/>
          <w:szCs w:val="20"/>
        </w:rPr>
        <w:t>Ecrehous</w:t>
      </w:r>
      <w:proofErr w:type="spellEnd"/>
      <w:r>
        <w:rPr>
          <w:sz w:val="20"/>
          <w:szCs w:val="20"/>
        </w:rPr>
        <w:t>, another bay, or to one of the sister islands, or even across to France, has always been an integral part of Jersey life.</w:t>
      </w:r>
      <w:r w:rsidR="00140175">
        <w:rPr>
          <w:sz w:val="20"/>
          <w:szCs w:val="20"/>
        </w:rPr>
        <w:t xml:space="preserve"> </w:t>
      </w:r>
      <w:r>
        <w:rPr>
          <w:sz w:val="20"/>
          <w:szCs w:val="20"/>
        </w:rPr>
        <w:t xml:space="preserve">A significant proportion of the population own or have access to a private boat. </w:t>
      </w:r>
      <w:r w:rsidR="00F00E08">
        <w:rPr>
          <w:sz w:val="20"/>
          <w:szCs w:val="20"/>
        </w:rPr>
        <w:t>We estimate</w:t>
      </w:r>
      <w:r>
        <w:rPr>
          <w:sz w:val="20"/>
          <w:szCs w:val="20"/>
        </w:rPr>
        <w:t xml:space="preserve"> that there are around </w:t>
      </w:r>
      <w:r w:rsidR="00982DD7">
        <w:rPr>
          <w:sz w:val="20"/>
          <w:szCs w:val="20"/>
        </w:rPr>
        <w:t>1,800 b</w:t>
      </w:r>
      <w:r>
        <w:rPr>
          <w:sz w:val="20"/>
          <w:szCs w:val="20"/>
        </w:rPr>
        <w:t>oats in the 4 marinas in St Helier</w:t>
      </w:r>
      <w:r w:rsidR="00982DD7">
        <w:rPr>
          <w:sz w:val="20"/>
          <w:szCs w:val="20"/>
        </w:rPr>
        <w:t xml:space="preserve">, and the various harbours and moorings across the island. </w:t>
      </w:r>
    </w:p>
    <w:p w14:paraId="1A519B09" w14:textId="77777777" w:rsidR="00B72BE6" w:rsidRDefault="00620F4D" w:rsidP="00620F4D">
      <w:pPr>
        <w:rPr>
          <w:sz w:val="20"/>
          <w:szCs w:val="20"/>
        </w:rPr>
      </w:pPr>
      <w:r>
        <w:rPr>
          <w:sz w:val="20"/>
          <w:szCs w:val="20"/>
        </w:rPr>
        <w:t>The harbours and mooring fields are an amenity of the island, whi</w:t>
      </w:r>
      <w:r w:rsidR="00F00E08">
        <w:rPr>
          <w:sz w:val="20"/>
          <w:szCs w:val="20"/>
        </w:rPr>
        <w:t>ch were owned by the people of J</w:t>
      </w:r>
      <w:r w:rsidR="00CC41F9">
        <w:rPr>
          <w:sz w:val="20"/>
          <w:szCs w:val="20"/>
        </w:rPr>
        <w:t>ersey</w:t>
      </w:r>
      <w:r w:rsidR="00EA1B5D">
        <w:rPr>
          <w:sz w:val="20"/>
          <w:szCs w:val="20"/>
        </w:rPr>
        <w:t xml:space="preserve"> after being gifted by the Crown in June 2015. </w:t>
      </w:r>
      <w:r w:rsidR="00CC41F9">
        <w:rPr>
          <w:sz w:val="20"/>
          <w:szCs w:val="20"/>
        </w:rPr>
        <w:t xml:space="preserve"> </w:t>
      </w:r>
      <w:r w:rsidR="00EA1B5D">
        <w:rPr>
          <w:sz w:val="20"/>
          <w:szCs w:val="20"/>
        </w:rPr>
        <w:t xml:space="preserve">These were transferred to </w:t>
      </w:r>
      <w:proofErr w:type="spellStart"/>
      <w:r w:rsidR="00EA1B5D">
        <w:rPr>
          <w:sz w:val="20"/>
          <w:szCs w:val="20"/>
        </w:rPr>
        <w:t>PoJ</w:t>
      </w:r>
      <w:proofErr w:type="spellEnd"/>
      <w:r w:rsidR="00EA1B5D">
        <w:rPr>
          <w:sz w:val="20"/>
          <w:szCs w:val="20"/>
        </w:rPr>
        <w:t xml:space="preserve"> </w:t>
      </w:r>
      <w:r w:rsidR="00140175">
        <w:rPr>
          <w:sz w:val="20"/>
          <w:szCs w:val="20"/>
        </w:rPr>
        <w:t xml:space="preserve">following </w:t>
      </w:r>
      <w:r w:rsidR="00EA1B5D">
        <w:rPr>
          <w:sz w:val="20"/>
          <w:szCs w:val="20"/>
        </w:rPr>
        <w:t>the Air and Sea Ports (Incorporation) (Jersey) Act 2015</w:t>
      </w:r>
      <w:r>
        <w:rPr>
          <w:sz w:val="20"/>
          <w:szCs w:val="20"/>
        </w:rPr>
        <w:t xml:space="preserve">.  </w:t>
      </w:r>
      <w:r w:rsidR="00EA1B5D">
        <w:rPr>
          <w:sz w:val="20"/>
          <w:szCs w:val="20"/>
        </w:rPr>
        <w:t xml:space="preserve">This Act specified that </w:t>
      </w:r>
      <w:proofErr w:type="spellStart"/>
      <w:r w:rsidR="00EA1B5D">
        <w:rPr>
          <w:sz w:val="20"/>
          <w:szCs w:val="20"/>
        </w:rPr>
        <w:t>PoJ</w:t>
      </w:r>
      <w:proofErr w:type="spellEnd"/>
      <w:r w:rsidR="00EA1B5D">
        <w:rPr>
          <w:sz w:val="20"/>
          <w:szCs w:val="20"/>
        </w:rPr>
        <w:t xml:space="preserve"> was the custodian of the harbours. As part of the </w:t>
      </w:r>
      <w:r w:rsidR="00A523FD">
        <w:rPr>
          <w:sz w:val="20"/>
          <w:szCs w:val="20"/>
        </w:rPr>
        <w:t xml:space="preserve">public consultation process ahead of the incorporation of </w:t>
      </w:r>
      <w:proofErr w:type="spellStart"/>
      <w:r w:rsidR="00A523FD">
        <w:rPr>
          <w:sz w:val="20"/>
          <w:szCs w:val="20"/>
        </w:rPr>
        <w:t>PoJ</w:t>
      </w:r>
      <w:proofErr w:type="spellEnd"/>
      <w:r w:rsidR="00A523FD">
        <w:rPr>
          <w:sz w:val="20"/>
          <w:szCs w:val="20"/>
        </w:rPr>
        <w:t xml:space="preserve">, representations were made by </w:t>
      </w:r>
      <w:proofErr w:type="spellStart"/>
      <w:r w:rsidR="00A523FD">
        <w:rPr>
          <w:sz w:val="20"/>
          <w:szCs w:val="20"/>
        </w:rPr>
        <w:t>PoJ</w:t>
      </w:r>
      <w:proofErr w:type="spellEnd"/>
      <w:r w:rsidR="00A523FD">
        <w:rPr>
          <w:sz w:val="20"/>
          <w:szCs w:val="20"/>
        </w:rPr>
        <w:t xml:space="preserve"> that, under their Public Service Obligations, they would “…protect the interests of the various clubs and associations who are very important to the future prosperity and customer base of Ports”. This was stated to be a core pillar of the </w:t>
      </w:r>
      <w:proofErr w:type="spellStart"/>
      <w:r w:rsidR="00A523FD">
        <w:rPr>
          <w:sz w:val="20"/>
          <w:szCs w:val="20"/>
        </w:rPr>
        <w:t>PoJ</w:t>
      </w:r>
      <w:proofErr w:type="spellEnd"/>
      <w:r w:rsidR="00A523FD">
        <w:rPr>
          <w:sz w:val="20"/>
          <w:szCs w:val="20"/>
        </w:rPr>
        <w:t xml:space="preserve"> approach to Corporate Social Responsibility.</w:t>
      </w:r>
    </w:p>
    <w:p w14:paraId="47B56809" w14:textId="77777777" w:rsidR="00FF78EC" w:rsidRDefault="00FF78EC" w:rsidP="00FF78EC">
      <w:pPr>
        <w:pStyle w:val="ListParagraph"/>
        <w:ind w:left="0"/>
        <w:rPr>
          <w:sz w:val="20"/>
          <w:szCs w:val="20"/>
        </w:rPr>
      </w:pPr>
      <w:r w:rsidRPr="00F600D6">
        <w:rPr>
          <w:sz w:val="20"/>
          <w:szCs w:val="20"/>
        </w:rPr>
        <w:t xml:space="preserve">The Jersey boat owner community accepted, albeit reluctantly, </w:t>
      </w:r>
      <w:r>
        <w:rPr>
          <w:sz w:val="20"/>
          <w:szCs w:val="20"/>
        </w:rPr>
        <w:t>t</w:t>
      </w:r>
      <w:r w:rsidR="00982DD7">
        <w:rPr>
          <w:sz w:val="20"/>
          <w:szCs w:val="20"/>
        </w:rPr>
        <w:t>he increase in fees of 10.4 %</w:t>
      </w:r>
      <w:r>
        <w:rPr>
          <w:sz w:val="20"/>
          <w:szCs w:val="20"/>
        </w:rPr>
        <w:t xml:space="preserve"> for 2023, the implementation of which was deferred by </w:t>
      </w:r>
      <w:proofErr w:type="spellStart"/>
      <w:r>
        <w:rPr>
          <w:sz w:val="20"/>
          <w:szCs w:val="20"/>
        </w:rPr>
        <w:t>PoJ</w:t>
      </w:r>
      <w:proofErr w:type="spellEnd"/>
      <w:r>
        <w:rPr>
          <w:sz w:val="20"/>
          <w:szCs w:val="20"/>
        </w:rPr>
        <w:t xml:space="preserve"> for two months to 1 March. There is a strongly held feeling in the community that a further increase of 11.1% </w:t>
      </w:r>
      <w:r w:rsidR="00982DD7">
        <w:rPr>
          <w:sz w:val="20"/>
          <w:szCs w:val="20"/>
        </w:rPr>
        <w:t xml:space="preserve">from </w:t>
      </w:r>
      <w:r>
        <w:rPr>
          <w:sz w:val="20"/>
          <w:szCs w:val="20"/>
        </w:rPr>
        <w:t>1 January 2024 is a step too far.</w:t>
      </w:r>
    </w:p>
    <w:p w14:paraId="1564EADA" w14:textId="77777777" w:rsidR="00FF78EC" w:rsidRDefault="00FF78EC" w:rsidP="00FF78EC">
      <w:pPr>
        <w:pStyle w:val="ListParagraph"/>
        <w:ind w:left="0"/>
        <w:rPr>
          <w:sz w:val="20"/>
          <w:szCs w:val="20"/>
        </w:rPr>
      </w:pPr>
    </w:p>
    <w:p w14:paraId="5B926EE8" w14:textId="77777777" w:rsidR="00FF78EC" w:rsidRDefault="00FF78EC" w:rsidP="00FF78EC">
      <w:pPr>
        <w:pStyle w:val="ListParagraph"/>
        <w:ind w:left="0"/>
        <w:rPr>
          <w:sz w:val="20"/>
          <w:szCs w:val="20"/>
        </w:rPr>
      </w:pPr>
      <w:r>
        <w:rPr>
          <w:sz w:val="20"/>
          <w:szCs w:val="20"/>
        </w:rPr>
        <w:lastRenderedPageBreak/>
        <w:t xml:space="preserve">All recognise that we are in inflationary times, and many of the drivers of inflation are due to global factors. However, it is the belief of the </w:t>
      </w:r>
      <w:r w:rsidR="00982DD7">
        <w:rPr>
          <w:sz w:val="20"/>
          <w:szCs w:val="20"/>
        </w:rPr>
        <w:t xml:space="preserve">boat owning </w:t>
      </w:r>
      <w:r>
        <w:rPr>
          <w:sz w:val="20"/>
          <w:szCs w:val="20"/>
        </w:rPr>
        <w:t xml:space="preserve">community that </w:t>
      </w:r>
      <w:proofErr w:type="spellStart"/>
      <w:r>
        <w:rPr>
          <w:sz w:val="20"/>
          <w:szCs w:val="20"/>
        </w:rPr>
        <w:t>PoJ</w:t>
      </w:r>
      <w:proofErr w:type="spellEnd"/>
      <w:r>
        <w:rPr>
          <w:sz w:val="20"/>
          <w:szCs w:val="20"/>
        </w:rPr>
        <w:t xml:space="preserve"> are exploiting th</w:t>
      </w:r>
      <w:r w:rsidR="00982DD7">
        <w:rPr>
          <w:sz w:val="20"/>
          <w:szCs w:val="20"/>
        </w:rPr>
        <w:t>e situation unreasonably to our detriment</w:t>
      </w:r>
      <w:r>
        <w:rPr>
          <w:sz w:val="20"/>
          <w:szCs w:val="20"/>
        </w:rPr>
        <w:t>.</w:t>
      </w:r>
    </w:p>
    <w:p w14:paraId="1BB59F96" w14:textId="77777777" w:rsidR="00FF78EC" w:rsidRDefault="00FF78EC" w:rsidP="00FF78EC">
      <w:pPr>
        <w:pStyle w:val="ListParagraph"/>
        <w:ind w:left="0"/>
        <w:rPr>
          <w:sz w:val="20"/>
          <w:szCs w:val="20"/>
        </w:rPr>
      </w:pPr>
    </w:p>
    <w:p w14:paraId="21B80726" w14:textId="77777777" w:rsidR="00FF78EC" w:rsidRDefault="00FF78EC" w:rsidP="00FF78EC">
      <w:pPr>
        <w:pStyle w:val="ListParagraph"/>
        <w:ind w:left="0"/>
        <w:rPr>
          <w:sz w:val="20"/>
          <w:szCs w:val="20"/>
        </w:rPr>
      </w:pPr>
      <w:r>
        <w:rPr>
          <w:sz w:val="20"/>
          <w:szCs w:val="20"/>
        </w:rPr>
        <w:t xml:space="preserve">It is acknowledged that </w:t>
      </w:r>
      <w:proofErr w:type="spellStart"/>
      <w:r>
        <w:rPr>
          <w:sz w:val="20"/>
          <w:szCs w:val="20"/>
        </w:rPr>
        <w:t>PoJ</w:t>
      </w:r>
      <w:proofErr w:type="spellEnd"/>
      <w:r>
        <w:rPr>
          <w:sz w:val="20"/>
          <w:szCs w:val="20"/>
        </w:rPr>
        <w:t xml:space="preserve"> have the authority to increase fees by a maximum of </w:t>
      </w:r>
      <w:r w:rsidR="00283B94">
        <w:rPr>
          <w:sz w:val="20"/>
          <w:szCs w:val="20"/>
        </w:rPr>
        <w:t>RPI plus 1% under the</w:t>
      </w:r>
      <w:r>
        <w:rPr>
          <w:sz w:val="20"/>
          <w:szCs w:val="20"/>
        </w:rPr>
        <w:t xml:space="preserve"> </w:t>
      </w:r>
      <w:proofErr w:type="gramStart"/>
      <w:r>
        <w:rPr>
          <w:sz w:val="20"/>
          <w:szCs w:val="20"/>
        </w:rPr>
        <w:t>Long Term</w:t>
      </w:r>
      <w:proofErr w:type="gramEnd"/>
      <w:r>
        <w:rPr>
          <w:sz w:val="20"/>
          <w:szCs w:val="20"/>
        </w:rPr>
        <w:t xml:space="preserve"> Pricing Framework</w:t>
      </w:r>
      <w:r w:rsidR="00283B94">
        <w:rPr>
          <w:sz w:val="20"/>
          <w:szCs w:val="20"/>
        </w:rPr>
        <w:t xml:space="preserve"> direction from the Jersey Competition Regulatory Authority (JCRA)</w:t>
      </w:r>
      <w:r>
        <w:rPr>
          <w:sz w:val="20"/>
          <w:szCs w:val="20"/>
        </w:rPr>
        <w:t>. This is, however, a maximum,</w:t>
      </w:r>
      <w:r w:rsidR="00CC41F9">
        <w:rPr>
          <w:sz w:val="20"/>
          <w:szCs w:val="20"/>
        </w:rPr>
        <w:t xml:space="preserve"> not a target or requirement</w:t>
      </w:r>
      <w:r>
        <w:rPr>
          <w:sz w:val="20"/>
          <w:szCs w:val="20"/>
        </w:rPr>
        <w:t xml:space="preserve">. There are a number of separate and distinct reasons why we believe that a lower increase </w:t>
      </w:r>
      <w:r w:rsidR="00E932BF">
        <w:rPr>
          <w:sz w:val="20"/>
          <w:szCs w:val="20"/>
        </w:rPr>
        <w:t xml:space="preserve">in berthing and marina fees </w:t>
      </w:r>
      <w:r>
        <w:rPr>
          <w:sz w:val="20"/>
          <w:szCs w:val="20"/>
        </w:rPr>
        <w:t>is appropriate</w:t>
      </w:r>
      <w:r w:rsidR="00283B94">
        <w:rPr>
          <w:sz w:val="20"/>
          <w:szCs w:val="20"/>
        </w:rPr>
        <w:t xml:space="preserve"> for </w:t>
      </w:r>
      <w:proofErr w:type="gramStart"/>
      <w:r w:rsidR="00283B94">
        <w:rPr>
          <w:sz w:val="20"/>
          <w:szCs w:val="20"/>
        </w:rPr>
        <w:t xml:space="preserve">2024 </w:t>
      </w:r>
      <w:r>
        <w:rPr>
          <w:sz w:val="20"/>
          <w:szCs w:val="20"/>
        </w:rPr>
        <w:t>:</w:t>
      </w:r>
      <w:proofErr w:type="gramEnd"/>
      <w:r>
        <w:rPr>
          <w:sz w:val="20"/>
          <w:szCs w:val="20"/>
        </w:rPr>
        <w:t xml:space="preserve">-  </w:t>
      </w:r>
    </w:p>
    <w:p w14:paraId="2BF7057D" w14:textId="77777777" w:rsidR="00FF78EC" w:rsidRDefault="00FF78EC" w:rsidP="00FF78EC">
      <w:pPr>
        <w:pStyle w:val="ListParagraph"/>
        <w:ind w:left="0"/>
        <w:rPr>
          <w:sz w:val="20"/>
          <w:szCs w:val="20"/>
        </w:rPr>
      </w:pPr>
    </w:p>
    <w:p w14:paraId="3E9A473B" w14:textId="77777777" w:rsidR="00FF78EC" w:rsidRDefault="00FF78EC" w:rsidP="007E6021">
      <w:pPr>
        <w:pStyle w:val="ListParagraph"/>
        <w:numPr>
          <w:ilvl w:val="0"/>
          <w:numId w:val="1"/>
        </w:numPr>
        <w:ind w:left="426" w:hanging="426"/>
        <w:rPr>
          <w:sz w:val="20"/>
          <w:szCs w:val="20"/>
        </w:rPr>
      </w:pPr>
      <w:r>
        <w:rPr>
          <w:sz w:val="20"/>
          <w:szCs w:val="20"/>
        </w:rPr>
        <w:t xml:space="preserve">headline inflation (RPI) and underlying inflation (RPI(Y)) have broadly tracked each other for many </w:t>
      </w:r>
      <w:proofErr w:type="gramStart"/>
      <w:r>
        <w:rPr>
          <w:sz w:val="20"/>
          <w:szCs w:val="20"/>
        </w:rPr>
        <w:t>years, but</w:t>
      </w:r>
      <w:proofErr w:type="gramEnd"/>
      <w:r>
        <w:rPr>
          <w:sz w:val="20"/>
          <w:szCs w:val="20"/>
        </w:rPr>
        <w:t xml:space="preserve"> have sharply diverged over the last year. RPI has surged due to the steep increase in mortgage costs, whereas</w:t>
      </w:r>
      <w:r w:rsidR="00A523FD">
        <w:rPr>
          <w:sz w:val="20"/>
          <w:szCs w:val="20"/>
        </w:rPr>
        <w:t>,</w:t>
      </w:r>
      <w:r>
        <w:rPr>
          <w:sz w:val="20"/>
          <w:szCs w:val="20"/>
        </w:rPr>
        <w:t xml:space="preserve"> as RPI(Y) excludes housing costs, it has trended lower. RPI for Sept 2023 is 10.1%, RPI(Y) is 5.</w:t>
      </w:r>
      <w:r w:rsidR="00F00E08">
        <w:rPr>
          <w:sz w:val="20"/>
          <w:szCs w:val="20"/>
        </w:rPr>
        <w:t>3</w:t>
      </w:r>
      <w:r>
        <w:rPr>
          <w:sz w:val="20"/>
          <w:szCs w:val="20"/>
        </w:rPr>
        <w:t xml:space="preserve">%. </w:t>
      </w:r>
      <w:r w:rsidR="00C8700A">
        <w:rPr>
          <w:sz w:val="20"/>
          <w:szCs w:val="20"/>
        </w:rPr>
        <w:t>A</w:t>
      </w:r>
      <w:r>
        <w:rPr>
          <w:sz w:val="20"/>
          <w:szCs w:val="20"/>
        </w:rPr>
        <w:t>lmost half of the inflation figure used for the fee increase is attributable to the rise in housing costs due to th</w:t>
      </w:r>
      <w:r w:rsidR="00C8700A">
        <w:rPr>
          <w:sz w:val="20"/>
          <w:szCs w:val="20"/>
        </w:rPr>
        <w:t>e spike in mortgage interest rates.  H</w:t>
      </w:r>
      <w:r>
        <w:rPr>
          <w:sz w:val="20"/>
          <w:szCs w:val="20"/>
        </w:rPr>
        <w:t xml:space="preserve">ousing costs have no bearing on the provision of marina services, </w:t>
      </w:r>
      <w:r w:rsidR="00E932BF">
        <w:rPr>
          <w:sz w:val="20"/>
          <w:szCs w:val="20"/>
        </w:rPr>
        <w:t xml:space="preserve">and RPI September 2023 is a statistical anomaly for </w:t>
      </w:r>
      <w:proofErr w:type="spellStart"/>
      <w:r w:rsidR="00E932BF">
        <w:rPr>
          <w:sz w:val="20"/>
          <w:szCs w:val="20"/>
        </w:rPr>
        <w:t>PoJ</w:t>
      </w:r>
      <w:proofErr w:type="spellEnd"/>
      <w:r w:rsidR="00E932BF">
        <w:rPr>
          <w:sz w:val="20"/>
          <w:szCs w:val="20"/>
        </w:rPr>
        <w:t xml:space="preserve"> fee guideline purposes. I</w:t>
      </w:r>
      <w:r>
        <w:rPr>
          <w:sz w:val="20"/>
          <w:szCs w:val="20"/>
        </w:rPr>
        <w:t xml:space="preserve">t is our view that </w:t>
      </w:r>
      <w:r w:rsidR="00F00E08">
        <w:rPr>
          <w:sz w:val="20"/>
          <w:szCs w:val="20"/>
        </w:rPr>
        <w:t xml:space="preserve">you </w:t>
      </w:r>
      <w:r>
        <w:rPr>
          <w:sz w:val="20"/>
          <w:szCs w:val="20"/>
        </w:rPr>
        <w:t xml:space="preserve">should have </w:t>
      </w:r>
      <w:r w:rsidR="00F00E08">
        <w:rPr>
          <w:sz w:val="20"/>
          <w:szCs w:val="20"/>
        </w:rPr>
        <w:t xml:space="preserve">used your discretion to use RPI(Y) </w:t>
      </w:r>
      <w:r w:rsidR="007E6021">
        <w:rPr>
          <w:sz w:val="20"/>
          <w:szCs w:val="20"/>
        </w:rPr>
        <w:t xml:space="preserve">as </w:t>
      </w:r>
      <w:r w:rsidR="00F00E08">
        <w:rPr>
          <w:sz w:val="20"/>
          <w:szCs w:val="20"/>
        </w:rPr>
        <w:t>your</w:t>
      </w:r>
      <w:r w:rsidR="007E6021">
        <w:rPr>
          <w:sz w:val="20"/>
          <w:szCs w:val="20"/>
        </w:rPr>
        <w:t xml:space="preserve"> reference inflation rate </w:t>
      </w:r>
      <w:r>
        <w:rPr>
          <w:sz w:val="20"/>
          <w:szCs w:val="20"/>
        </w:rPr>
        <w:t xml:space="preserve">when </w:t>
      </w:r>
      <w:r w:rsidR="007E6021">
        <w:rPr>
          <w:sz w:val="20"/>
          <w:szCs w:val="20"/>
        </w:rPr>
        <w:t xml:space="preserve">setting </w:t>
      </w:r>
      <w:r>
        <w:rPr>
          <w:sz w:val="20"/>
          <w:szCs w:val="20"/>
        </w:rPr>
        <w:t xml:space="preserve">the 2024 </w:t>
      </w:r>
      <w:r w:rsidR="00C8700A">
        <w:rPr>
          <w:sz w:val="20"/>
          <w:szCs w:val="20"/>
        </w:rPr>
        <w:t xml:space="preserve">fees. </w:t>
      </w:r>
    </w:p>
    <w:p w14:paraId="3FAB6C77" w14:textId="77777777" w:rsidR="007E6021" w:rsidRPr="007E6021" w:rsidRDefault="007E6021" w:rsidP="007E6021">
      <w:pPr>
        <w:rPr>
          <w:sz w:val="20"/>
          <w:szCs w:val="20"/>
        </w:rPr>
      </w:pPr>
      <w:r>
        <w:rPr>
          <w:sz w:val="20"/>
          <w:szCs w:val="20"/>
        </w:rPr>
        <w:t xml:space="preserve">We note that </w:t>
      </w:r>
      <w:proofErr w:type="spellStart"/>
      <w:r w:rsidR="00FF78EC" w:rsidRPr="006E2E5D">
        <w:rPr>
          <w:sz w:val="20"/>
          <w:szCs w:val="20"/>
        </w:rPr>
        <w:t>PoJ</w:t>
      </w:r>
      <w:proofErr w:type="spellEnd"/>
      <w:r w:rsidR="00FF78EC" w:rsidRPr="006E2E5D">
        <w:rPr>
          <w:sz w:val="20"/>
          <w:szCs w:val="20"/>
        </w:rPr>
        <w:t xml:space="preserve"> proposed </w:t>
      </w:r>
      <w:r w:rsidR="00A523FD">
        <w:rPr>
          <w:sz w:val="20"/>
          <w:szCs w:val="20"/>
        </w:rPr>
        <w:t xml:space="preserve">the use of </w:t>
      </w:r>
      <w:r w:rsidR="00FF78EC" w:rsidRPr="006E2E5D">
        <w:rPr>
          <w:sz w:val="20"/>
          <w:szCs w:val="20"/>
        </w:rPr>
        <w:t>RPI(Y) in early consultation with the Jersey Competition Regulatory Authority</w:t>
      </w:r>
      <w:r w:rsidR="00FF78EC">
        <w:rPr>
          <w:sz w:val="20"/>
          <w:szCs w:val="20"/>
        </w:rPr>
        <w:t xml:space="preserve"> (JCRA) in respect of the fee review </w:t>
      </w:r>
      <w:r w:rsidR="00FF78EC" w:rsidRPr="006E2E5D">
        <w:rPr>
          <w:sz w:val="20"/>
          <w:szCs w:val="20"/>
        </w:rPr>
        <w:t>in 2018.</w:t>
      </w:r>
      <w:r w:rsidRPr="007E6021">
        <w:rPr>
          <w:sz w:val="20"/>
          <w:szCs w:val="20"/>
        </w:rPr>
        <w:t xml:space="preserve"> Refer appendix 1 </w:t>
      </w:r>
      <w:r>
        <w:rPr>
          <w:sz w:val="20"/>
          <w:szCs w:val="20"/>
        </w:rPr>
        <w:t>for historic rates.</w:t>
      </w:r>
    </w:p>
    <w:p w14:paraId="2E6CD664" w14:textId="77777777" w:rsidR="00FF78EC" w:rsidRDefault="00FF78EC" w:rsidP="007E6021">
      <w:pPr>
        <w:pStyle w:val="ListParagraph"/>
        <w:numPr>
          <w:ilvl w:val="0"/>
          <w:numId w:val="1"/>
        </w:numPr>
        <w:ind w:left="426" w:hanging="426"/>
        <w:rPr>
          <w:sz w:val="20"/>
          <w:szCs w:val="20"/>
        </w:rPr>
      </w:pPr>
      <w:r>
        <w:rPr>
          <w:sz w:val="20"/>
          <w:szCs w:val="20"/>
        </w:rPr>
        <w:t xml:space="preserve">The implementation date of 1 January, following the previous deferred date for the 2023 increase to 1 March, means that marina fees will have risen 24% from January to January </w:t>
      </w:r>
      <w:proofErr w:type="gramStart"/>
      <w:r>
        <w:rPr>
          <w:sz w:val="20"/>
          <w:szCs w:val="20"/>
        </w:rPr>
        <w:t>as a result of</w:t>
      </w:r>
      <w:proofErr w:type="gramEnd"/>
      <w:r>
        <w:rPr>
          <w:sz w:val="20"/>
          <w:szCs w:val="20"/>
        </w:rPr>
        <w:t xml:space="preserve"> compounding and the impact of GST. This is manifestly unreasonable. In our view, the government has a responsibility to act to bring down inflation, not fuel it, and as an agent of government</w:t>
      </w:r>
      <w:r w:rsidR="00140175">
        <w:rPr>
          <w:sz w:val="20"/>
          <w:szCs w:val="20"/>
        </w:rPr>
        <w:t>,</w:t>
      </w:r>
      <w:r>
        <w:rPr>
          <w:sz w:val="20"/>
          <w:szCs w:val="20"/>
        </w:rPr>
        <w:t xml:space="preserve"> </w:t>
      </w:r>
      <w:proofErr w:type="spellStart"/>
      <w:r>
        <w:rPr>
          <w:sz w:val="20"/>
          <w:szCs w:val="20"/>
        </w:rPr>
        <w:t>PoJ</w:t>
      </w:r>
      <w:proofErr w:type="spellEnd"/>
      <w:r>
        <w:rPr>
          <w:sz w:val="20"/>
          <w:szCs w:val="20"/>
        </w:rPr>
        <w:t xml:space="preserve"> </w:t>
      </w:r>
      <w:r w:rsidR="00C8700A">
        <w:rPr>
          <w:sz w:val="20"/>
          <w:szCs w:val="20"/>
        </w:rPr>
        <w:t>has a role in</w:t>
      </w:r>
      <w:r>
        <w:rPr>
          <w:sz w:val="20"/>
          <w:szCs w:val="20"/>
        </w:rPr>
        <w:t xml:space="preserve"> holding increases to below inflation.  </w:t>
      </w:r>
    </w:p>
    <w:p w14:paraId="206986E8" w14:textId="77777777" w:rsidR="00FF78EC" w:rsidRPr="00E66B88" w:rsidRDefault="00FF78EC" w:rsidP="00FF78EC">
      <w:pPr>
        <w:pStyle w:val="ListParagraph"/>
        <w:rPr>
          <w:sz w:val="20"/>
          <w:szCs w:val="20"/>
        </w:rPr>
      </w:pPr>
    </w:p>
    <w:p w14:paraId="0B693E30" w14:textId="77777777" w:rsidR="00FF78EC" w:rsidRDefault="00FF78EC" w:rsidP="007E6021">
      <w:pPr>
        <w:pStyle w:val="ListParagraph"/>
        <w:numPr>
          <w:ilvl w:val="0"/>
          <w:numId w:val="1"/>
        </w:numPr>
        <w:ind w:left="426" w:hanging="426"/>
        <w:rPr>
          <w:sz w:val="20"/>
          <w:szCs w:val="20"/>
        </w:rPr>
      </w:pPr>
      <w:proofErr w:type="spellStart"/>
      <w:r>
        <w:rPr>
          <w:sz w:val="20"/>
          <w:szCs w:val="20"/>
        </w:rPr>
        <w:t>PoJ</w:t>
      </w:r>
      <w:proofErr w:type="spellEnd"/>
      <w:r>
        <w:rPr>
          <w:sz w:val="20"/>
          <w:szCs w:val="20"/>
        </w:rPr>
        <w:t xml:space="preserve"> seek to justify another year of steep increases by referencing the need to recover revenues following the pandemic. Marina revenues were protected during the pandemic, as our boats all had to stay on their moorings. We recognise visiting yacht numbers were reduced but these are only a small portion of marina revenues. 2022 marina revenues show an increase over pre-pandemic </w:t>
      </w:r>
      <w:proofErr w:type="gramStart"/>
      <w:r>
        <w:rPr>
          <w:sz w:val="20"/>
          <w:szCs w:val="20"/>
        </w:rPr>
        <w:t>levels</w:t>
      </w:r>
      <w:proofErr w:type="gramEnd"/>
      <w:r>
        <w:rPr>
          <w:sz w:val="20"/>
          <w:szCs w:val="20"/>
        </w:rPr>
        <w:t xml:space="preserve"> and we expect 2023 results when published will show another substantial increase.</w:t>
      </w:r>
      <w:r w:rsidR="00F00E08">
        <w:rPr>
          <w:sz w:val="20"/>
          <w:szCs w:val="20"/>
        </w:rPr>
        <w:t xml:space="preserve"> Th</w:t>
      </w:r>
      <w:r w:rsidR="00C8700A">
        <w:rPr>
          <w:sz w:val="20"/>
          <w:szCs w:val="20"/>
        </w:rPr>
        <w:t>is</w:t>
      </w:r>
      <w:r w:rsidR="00F00E08">
        <w:rPr>
          <w:sz w:val="20"/>
          <w:szCs w:val="20"/>
        </w:rPr>
        <w:t xml:space="preserve"> justification for increasing fees </w:t>
      </w:r>
      <w:r w:rsidR="00C8700A">
        <w:rPr>
          <w:sz w:val="20"/>
          <w:szCs w:val="20"/>
        </w:rPr>
        <w:t xml:space="preserve">for boat owners simply </w:t>
      </w:r>
      <w:r w:rsidR="00CC41F9">
        <w:rPr>
          <w:sz w:val="20"/>
          <w:szCs w:val="20"/>
        </w:rPr>
        <w:t xml:space="preserve">does </w:t>
      </w:r>
      <w:r w:rsidR="00F00E08">
        <w:rPr>
          <w:sz w:val="20"/>
          <w:szCs w:val="20"/>
        </w:rPr>
        <w:t xml:space="preserve">not stack up. </w:t>
      </w:r>
      <w:r>
        <w:rPr>
          <w:sz w:val="20"/>
          <w:szCs w:val="20"/>
        </w:rPr>
        <w:t xml:space="preserve"> </w:t>
      </w:r>
    </w:p>
    <w:p w14:paraId="5F836AFD" w14:textId="77777777" w:rsidR="00FF78EC" w:rsidRPr="00FF78EC" w:rsidRDefault="00FF78EC" w:rsidP="007E6021">
      <w:pPr>
        <w:ind w:left="426"/>
        <w:rPr>
          <w:sz w:val="20"/>
          <w:szCs w:val="20"/>
        </w:rPr>
      </w:pPr>
      <w:r w:rsidRPr="00FF78EC">
        <w:rPr>
          <w:sz w:val="20"/>
          <w:szCs w:val="20"/>
        </w:rPr>
        <w:t xml:space="preserve">Refer </w:t>
      </w:r>
      <w:r>
        <w:rPr>
          <w:sz w:val="20"/>
          <w:szCs w:val="20"/>
        </w:rPr>
        <w:t>Appendix 2</w:t>
      </w:r>
      <w:r w:rsidR="007E6021">
        <w:rPr>
          <w:sz w:val="20"/>
          <w:szCs w:val="20"/>
        </w:rPr>
        <w:t xml:space="preserve"> for historic </w:t>
      </w:r>
      <w:proofErr w:type="gramStart"/>
      <w:r w:rsidR="007E6021">
        <w:rPr>
          <w:sz w:val="20"/>
          <w:szCs w:val="20"/>
        </w:rPr>
        <w:t>revenues</w:t>
      </w:r>
      <w:proofErr w:type="gramEnd"/>
      <w:r w:rsidRPr="00FF78EC">
        <w:rPr>
          <w:sz w:val="20"/>
          <w:szCs w:val="20"/>
        </w:rPr>
        <w:t xml:space="preserve"> </w:t>
      </w:r>
    </w:p>
    <w:p w14:paraId="4FAC448D" w14:textId="77777777" w:rsidR="00FF78EC" w:rsidRDefault="00FF78EC" w:rsidP="007E6021">
      <w:pPr>
        <w:pStyle w:val="ListParagraph"/>
        <w:numPr>
          <w:ilvl w:val="0"/>
          <w:numId w:val="1"/>
        </w:numPr>
        <w:ind w:left="426" w:hanging="426"/>
        <w:rPr>
          <w:sz w:val="20"/>
          <w:szCs w:val="20"/>
        </w:rPr>
      </w:pPr>
      <w:proofErr w:type="spellStart"/>
      <w:r>
        <w:rPr>
          <w:sz w:val="20"/>
          <w:szCs w:val="20"/>
        </w:rPr>
        <w:t>PoJ</w:t>
      </w:r>
      <w:proofErr w:type="spellEnd"/>
      <w:r>
        <w:rPr>
          <w:sz w:val="20"/>
          <w:szCs w:val="20"/>
        </w:rPr>
        <w:t xml:space="preserve"> also reference the need for investment in capital projects as justification for a large increase</w:t>
      </w:r>
      <w:r w:rsidR="00C8700A">
        <w:rPr>
          <w:sz w:val="20"/>
          <w:szCs w:val="20"/>
        </w:rPr>
        <w:t xml:space="preserve"> in fees</w:t>
      </w:r>
      <w:r>
        <w:rPr>
          <w:sz w:val="20"/>
          <w:szCs w:val="20"/>
        </w:rPr>
        <w:t xml:space="preserve">. The significant capital sums required for both replacing existing infrastructure and ‘masterplans’ relate to the airport and the commercial areas of the port. Private boat owners will see little if any benefit - indeed a loss of utility and function is more likely as the port is reorganised for commercial activity. We acknowledge that the pontoons were replaced in Town marina in 2022, but this was like-for-like replacement of assets at the end of their useful </w:t>
      </w:r>
      <w:proofErr w:type="gramStart"/>
      <w:r>
        <w:rPr>
          <w:sz w:val="20"/>
          <w:szCs w:val="20"/>
        </w:rPr>
        <w:t>life, and</w:t>
      </w:r>
      <w:proofErr w:type="gramEnd"/>
      <w:r>
        <w:rPr>
          <w:sz w:val="20"/>
          <w:szCs w:val="20"/>
        </w:rPr>
        <w:t xml:space="preserve"> saw no increase in capacity or function for marina users.</w:t>
      </w:r>
    </w:p>
    <w:p w14:paraId="1ECEAA7E" w14:textId="77777777" w:rsidR="00FF78EC" w:rsidRPr="007E7377" w:rsidRDefault="00FF78EC" w:rsidP="00FF78EC">
      <w:pPr>
        <w:pStyle w:val="ListParagraph"/>
        <w:rPr>
          <w:sz w:val="20"/>
          <w:szCs w:val="20"/>
        </w:rPr>
      </w:pPr>
    </w:p>
    <w:p w14:paraId="796F725F" w14:textId="77777777" w:rsidR="007E6021" w:rsidRPr="007E6021" w:rsidRDefault="00FF78EC" w:rsidP="007E6021">
      <w:pPr>
        <w:pStyle w:val="ListParagraph"/>
        <w:numPr>
          <w:ilvl w:val="0"/>
          <w:numId w:val="1"/>
        </w:numPr>
        <w:ind w:left="426" w:hanging="426"/>
        <w:rPr>
          <w:i/>
          <w:sz w:val="20"/>
          <w:szCs w:val="20"/>
        </w:rPr>
      </w:pPr>
      <w:r>
        <w:rPr>
          <w:sz w:val="20"/>
          <w:szCs w:val="20"/>
        </w:rPr>
        <w:t>The boat owning community has endeavoured to engage with Har</w:t>
      </w:r>
      <w:r w:rsidR="007E6021">
        <w:rPr>
          <w:sz w:val="20"/>
          <w:szCs w:val="20"/>
        </w:rPr>
        <w:t>bours through periodic meetings</w:t>
      </w:r>
      <w:r>
        <w:rPr>
          <w:sz w:val="20"/>
          <w:szCs w:val="20"/>
        </w:rPr>
        <w:t xml:space="preserve">. Though cordial, </w:t>
      </w:r>
      <w:r w:rsidR="007E6021">
        <w:rPr>
          <w:sz w:val="20"/>
          <w:szCs w:val="20"/>
        </w:rPr>
        <w:t xml:space="preserve">we have been disappointed </w:t>
      </w:r>
      <w:r>
        <w:rPr>
          <w:sz w:val="20"/>
          <w:szCs w:val="20"/>
        </w:rPr>
        <w:t>there is an established pattern of no action being taken in respect of reported problems and requests for improvements. Long standing iss</w:t>
      </w:r>
      <w:r w:rsidR="00E932BF">
        <w:rPr>
          <w:sz w:val="20"/>
          <w:szCs w:val="20"/>
        </w:rPr>
        <w:t xml:space="preserve">ues, for example the </w:t>
      </w:r>
      <w:r>
        <w:rPr>
          <w:sz w:val="20"/>
          <w:szCs w:val="20"/>
        </w:rPr>
        <w:t>gauges and lights at Elizabeth Marina</w:t>
      </w:r>
      <w:r w:rsidR="00CC41F9">
        <w:rPr>
          <w:sz w:val="20"/>
          <w:szCs w:val="20"/>
        </w:rPr>
        <w:t xml:space="preserve">, </w:t>
      </w:r>
      <w:r w:rsidR="007E6021">
        <w:rPr>
          <w:sz w:val="20"/>
          <w:szCs w:val="20"/>
        </w:rPr>
        <w:t xml:space="preserve">the mooring chains in Gorey or the dredging of St </w:t>
      </w:r>
      <w:proofErr w:type="spellStart"/>
      <w:r w:rsidR="007E6021">
        <w:rPr>
          <w:sz w:val="20"/>
          <w:szCs w:val="20"/>
        </w:rPr>
        <w:t>Aubins</w:t>
      </w:r>
      <w:proofErr w:type="spellEnd"/>
      <w:r w:rsidR="007E6021">
        <w:rPr>
          <w:sz w:val="20"/>
          <w:szCs w:val="20"/>
        </w:rPr>
        <w:t>,</w:t>
      </w:r>
      <w:r>
        <w:rPr>
          <w:sz w:val="20"/>
          <w:szCs w:val="20"/>
        </w:rPr>
        <w:t xml:space="preserve"> are still </w:t>
      </w:r>
      <w:r w:rsidR="00F00E08">
        <w:rPr>
          <w:sz w:val="20"/>
          <w:szCs w:val="20"/>
        </w:rPr>
        <w:t>awaiting resolution</w:t>
      </w:r>
      <w:r>
        <w:rPr>
          <w:sz w:val="20"/>
          <w:szCs w:val="20"/>
        </w:rPr>
        <w:t>.</w:t>
      </w:r>
      <w:r w:rsidR="00E932BF">
        <w:rPr>
          <w:sz w:val="20"/>
          <w:szCs w:val="20"/>
        </w:rPr>
        <w:t xml:space="preserve"> It has</w:t>
      </w:r>
      <w:r w:rsidR="00C8700A">
        <w:rPr>
          <w:sz w:val="20"/>
          <w:szCs w:val="20"/>
        </w:rPr>
        <w:t xml:space="preserve"> also </w:t>
      </w:r>
      <w:r w:rsidR="00CE6D48">
        <w:rPr>
          <w:sz w:val="20"/>
          <w:szCs w:val="20"/>
        </w:rPr>
        <w:t xml:space="preserve">become apparent that the numbers of complaints reported in your </w:t>
      </w:r>
      <w:r w:rsidR="00CE6D48">
        <w:rPr>
          <w:sz w:val="20"/>
          <w:szCs w:val="20"/>
        </w:rPr>
        <w:lastRenderedPageBreak/>
        <w:t xml:space="preserve">performance measures supplied to JCRA is significantly lower than the expressions of dissatisfaction our members have reported to marinas and harbours management.  </w:t>
      </w:r>
      <w:r>
        <w:rPr>
          <w:sz w:val="20"/>
          <w:szCs w:val="20"/>
        </w:rPr>
        <w:t xml:space="preserve">  </w:t>
      </w:r>
    </w:p>
    <w:p w14:paraId="4383951B" w14:textId="77777777" w:rsidR="00FF78EC" w:rsidRPr="007E7377" w:rsidRDefault="00FF78EC" w:rsidP="00FF78EC">
      <w:pPr>
        <w:pStyle w:val="ListParagraph"/>
        <w:rPr>
          <w:sz w:val="20"/>
          <w:szCs w:val="20"/>
        </w:rPr>
      </w:pPr>
    </w:p>
    <w:p w14:paraId="29FC0A8C" w14:textId="77777777" w:rsidR="00FC5008" w:rsidRDefault="00FF78EC" w:rsidP="00FC5008">
      <w:pPr>
        <w:pStyle w:val="ListParagraph"/>
        <w:numPr>
          <w:ilvl w:val="0"/>
          <w:numId w:val="1"/>
        </w:numPr>
        <w:rPr>
          <w:sz w:val="20"/>
          <w:szCs w:val="20"/>
        </w:rPr>
      </w:pPr>
      <w:proofErr w:type="spellStart"/>
      <w:r w:rsidRPr="00FC5008">
        <w:rPr>
          <w:sz w:val="20"/>
          <w:szCs w:val="20"/>
        </w:rPr>
        <w:t>PoJ</w:t>
      </w:r>
      <w:proofErr w:type="spellEnd"/>
      <w:r w:rsidRPr="00FC5008">
        <w:rPr>
          <w:sz w:val="20"/>
          <w:szCs w:val="20"/>
        </w:rPr>
        <w:t xml:space="preserve"> have not increased fees for professional fishing boats</w:t>
      </w:r>
      <w:r w:rsidR="00FC5008" w:rsidRPr="00FC5008">
        <w:rPr>
          <w:sz w:val="20"/>
          <w:szCs w:val="20"/>
        </w:rPr>
        <w:t xml:space="preserve"> (a decision we </w:t>
      </w:r>
      <w:r w:rsidR="00C8700A">
        <w:rPr>
          <w:sz w:val="20"/>
          <w:szCs w:val="20"/>
        </w:rPr>
        <w:t>support</w:t>
      </w:r>
      <w:proofErr w:type="gramStart"/>
      <w:r w:rsidR="00FC5008" w:rsidRPr="00FC5008">
        <w:rPr>
          <w:sz w:val="20"/>
          <w:szCs w:val="20"/>
        </w:rPr>
        <w:t>)</w:t>
      </w:r>
      <w:r w:rsidRPr="00FC5008">
        <w:rPr>
          <w:sz w:val="20"/>
          <w:szCs w:val="20"/>
        </w:rPr>
        <w:t>, and</w:t>
      </w:r>
      <w:proofErr w:type="gramEnd"/>
      <w:r w:rsidRPr="00FC5008">
        <w:rPr>
          <w:sz w:val="20"/>
          <w:szCs w:val="20"/>
        </w:rPr>
        <w:t xml:space="preserve"> have indicated that some businesses have specific agre</w:t>
      </w:r>
      <w:r w:rsidR="00C8700A">
        <w:rPr>
          <w:sz w:val="20"/>
          <w:szCs w:val="20"/>
        </w:rPr>
        <w:t xml:space="preserve">ements on fees. </w:t>
      </w:r>
      <w:proofErr w:type="gramStart"/>
      <w:r w:rsidR="00C8700A">
        <w:rPr>
          <w:sz w:val="20"/>
          <w:szCs w:val="20"/>
        </w:rPr>
        <w:t>It would appear</w:t>
      </w:r>
      <w:r w:rsidR="00FC5008" w:rsidRPr="00FC5008">
        <w:rPr>
          <w:sz w:val="20"/>
          <w:szCs w:val="20"/>
        </w:rPr>
        <w:t xml:space="preserve"> </w:t>
      </w:r>
      <w:r w:rsidRPr="00FC5008">
        <w:rPr>
          <w:sz w:val="20"/>
          <w:szCs w:val="20"/>
        </w:rPr>
        <w:t>that the</w:t>
      </w:r>
      <w:proofErr w:type="gramEnd"/>
      <w:r w:rsidRPr="00FC5008">
        <w:rPr>
          <w:sz w:val="20"/>
          <w:szCs w:val="20"/>
        </w:rPr>
        <w:t xml:space="preserve"> major commercial </w:t>
      </w:r>
      <w:r w:rsidR="00E932BF">
        <w:rPr>
          <w:sz w:val="20"/>
          <w:szCs w:val="20"/>
        </w:rPr>
        <w:t xml:space="preserve">users of </w:t>
      </w:r>
      <w:r w:rsidR="00C8700A">
        <w:rPr>
          <w:sz w:val="20"/>
          <w:szCs w:val="20"/>
        </w:rPr>
        <w:t>the port and airport may</w:t>
      </w:r>
      <w:r w:rsidRPr="00FC5008">
        <w:rPr>
          <w:sz w:val="20"/>
          <w:szCs w:val="20"/>
        </w:rPr>
        <w:t xml:space="preserve"> not</w:t>
      </w:r>
      <w:r w:rsidR="00C8700A">
        <w:rPr>
          <w:sz w:val="20"/>
          <w:szCs w:val="20"/>
        </w:rPr>
        <w:t xml:space="preserve"> be</w:t>
      </w:r>
      <w:r w:rsidRPr="00FC5008">
        <w:rPr>
          <w:sz w:val="20"/>
          <w:szCs w:val="20"/>
        </w:rPr>
        <w:t xml:space="preserve"> facing fee increases of the same level. It leads to the conclusion that the private boat owners using the amenity of the harbours are being unfairly treated through a disproportionate impact of fee increases. Marinas accounts for less than 10% of the business of </w:t>
      </w:r>
      <w:proofErr w:type="spellStart"/>
      <w:r w:rsidRPr="00FC5008">
        <w:rPr>
          <w:sz w:val="20"/>
          <w:szCs w:val="20"/>
        </w:rPr>
        <w:t>PoJ</w:t>
      </w:r>
      <w:proofErr w:type="spellEnd"/>
      <w:r w:rsidRPr="00FC5008">
        <w:rPr>
          <w:sz w:val="20"/>
          <w:szCs w:val="20"/>
        </w:rPr>
        <w:t xml:space="preserve"> and yet fees are being increased for private boat owners at a higher rate to offset revenue shortfalls and </w:t>
      </w:r>
      <w:r w:rsidR="00E932BF">
        <w:rPr>
          <w:sz w:val="20"/>
          <w:szCs w:val="20"/>
        </w:rPr>
        <w:t xml:space="preserve">the funding of </w:t>
      </w:r>
      <w:r w:rsidRPr="00FC5008">
        <w:rPr>
          <w:sz w:val="20"/>
          <w:szCs w:val="20"/>
        </w:rPr>
        <w:t xml:space="preserve">capital projects in commercial areas.  </w:t>
      </w:r>
    </w:p>
    <w:p w14:paraId="452D5940" w14:textId="77777777" w:rsidR="00FC5008" w:rsidRPr="00FC5008" w:rsidRDefault="00FC5008" w:rsidP="00FC5008">
      <w:pPr>
        <w:pStyle w:val="ListParagraph"/>
        <w:ind w:left="360"/>
        <w:rPr>
          <w:sz w:val="20"/>
          <w:szCs w:val="20"/>
        </w:rPr>
      </w:pPr>
    </w:p>
    <w:p w14:paraId="77C5D585" w14:textId="77777777" w:rsidR="00FF78EC" w:rsidRPr="00B36A87" w:rsidRDefault="00FF78EC" w:rsidP="00FF78EC">
      <w:pPr>
        <w:pStyle w:val="ListParagraph"/>
        <w:numPr>
          <w:ilvl w:val="0"/>
          <w:numId w:val="1"/>
        </w:numPr>
        <w:rPr>
          <w:sz w:val="20"/>
          <w:szCs w:val="20"/>
        </w:rPr>
      </w:pPr>
      <w:r>
        <w:rPr>
          <w:sz w:val="20"/>
          <w:szCs w:val="20"/>
        </w:rPr>
        <w:t xml:space="preserve">The annual revenues generated by the berthing fees for local boats are ‘guesstimated’ (without access to </w:t>
      </w:r>
      <w:proofErr w:type="spellStart"/>
      <w:r>
        <w:rPr>
          <w:sz w:val="20"/>
          <w:szCs w:val="20"/>
        </w:rPr>
        <w:t>PoJ</w:t>
      </w:r>
      <w:proofErr w:type="spellEnd"/>
      <w:r>
        <w:rPr>
          <w:sz w:val="20"/>
          <w:szCs w:val="20"/>
        </w:rPr>
        <w:t xml:space="preserve"> books) at around £4m. The actual amount of reve</w:t>
      </w:r>
      <w:r w:rsidR="00C8700A">
        <w:rPr>
          <w:sz w:val="20"/>
          <w:szCs w:val="20"/>
        </w:rPr>
        <w:t xml:space="preserve">nue that would be forsaken by </w:t>
      </w:r>
      <w:proofErr w:type="spellStart"/>
      <w:r w:rsidR="00C8700A">
        <w:rPr>
          <w:sz w:val="20"/>
          <w:szCs w:val="20"/>
        </w:rPr>
        <w:t>Po</w:t>
      </w:r>
      <w:r>
        <w:rPr>
          <w:sz w:val="20"/>
          <w:szCs w:val="20"/>
        </w:rPr>
        <w:t>J</w:t>
      </w:r>
      <w:proofErr w:type="spellEnd"/>
      <w:r>
        <w:rPr>
          <w:sz w:val="20"/>
          <w:szCs w:val="20"/>
        </w:rPr>
        <w:t xml:space="preserve"> if fees were increased by 5% rather than 11.1% is estimated at around £</w:t>
      </w:r>
      <w:r w:rsidR="00F00E08">
        <w:rPr>
          <w:sz w:val="20"/>
          <w:szCs w:val="20"/>
        </w:rPr>
        <w:t>250k</w:t>
      </w:r>
      <w:r>
        <w:rPr>
          <w:sz w:val="20"/>
          <w:szCs w:val="20"/>
        </w:rPr>
        <w:t>. To put thi</w:t>
      </w:r>
      <w:r w:rsidR="00140175">
        <w:rPr>
          <w:sz w:val="20"/>
          <w:szCs w:val="20"/>
        </w:rPr>
        <w:t>s into context, it is</w:t>
      </w:r>
      <w:r>
        <w:rPr>
          <w:sz w:val="20"/>
          <w:szCs w:val="20"/>
        </w:rPr>
        <w:t xml:space="preserve"> less than two days revenue of </w:t>
      </w:r>
      <w:proofErr w:type="spellStart"/>
      <w:r>
        <w:rPr>
          <w:sz w:val="20"/>
          <w:szCs w:val="20"/>
        </w:rPr>
        <w:t>PoJ</w:t>
      </w:r>
      <w:proofErr w:type="spellEnd"/>
      <w:r>
        <w:rPr>
          <w:sz w:val="20"/>
          <w:szCs w:val="20"/>
        </w:rPr>
        <w:t xml:space="preserve">. A fair rate of fee increase for local boat owners would have no </w:t>
      </w:r>
      <w:proofErr w:type="spellStart"/>
      <w:r>
        <w:rPr>
          <w:sz w:val="20"/>
          <w:szCs w:val="20"/>
        </w:rPr>
        <w:t>discernable</w:t>
      </w:r>
      <w:proofErr w:type="spellEnd"/>
      <w:r>
        <w:rPr>
          <w:sz w:val="20"/>
          <w:szCs w:val="20"/>
        </w:rPr>
        <w:t xml:space="preserve"> adverse impact on the financial resources of </w:t>
      </w:r>
      <w:proofErr w:type="spellStart"/>
      <w:r>
        <w:rPr>
          <w:sz w:val="20"/>
          <w:szCs w:val="20"/>
        </w:rPr>
        <w:t>PoJ</w:t>
      </w:r>
      <w:proofErr w:type="spellEnd"/>
      <w:r>
        <w:rPr>
          <w:sz w:val="20"/>
          <w:szCs w:val="20"/>
        </w:rPr>
        <w:t xml:space="preserve">.  </w:t>
      </w:r>
      <w:r w:rsidRPr="00B36A87">
        <w:rPr>
          <w:sz w:val="20"/>
          <w:szCs w:val="20"/>
        </w:rPr>
        <w:t xml:space="preserve"> </w:t>
      </w:r>
    </w:p>
    <w:p w14:paraId="7B9D5762" w14:textId="77777777" w:rsidR="00E40C14" w:rsidRDefault="00E40C14" w:rsidP="00E40C14">
      <w:pPr>
        <w:pStyle w:val="ListParagraph"/>
        <w:ind w:left="360"/>
        <w:rPr>
          <w:sz w:val="20"/>
          <w:szCs w:val="20"/>
        </w:rPr>
      </w:pPr>
    </w:p>
    <w:p w14:paraId="5E2E4568" w14:textId="77777777" w:rsidR="00E40C14" w:rsidRDefault="00E40C14" w:rsidP="00E40C14">
      <w:pPr>
        <w:pStyle w:val="ListParagraph"/>
        <w:ind w:left="0"/>
        <w:rPr>
          <w:sz w:val="20"/>
          <w:szCs w:val="20"/>
        </w:rPr>
      </w:pPr>
      <w:r>
        <w:rPr>
          <w:sz w:val="20"/>
          <w:szCs w:val="20"/>
        </w:rPr>
        <w:t xml:space="preserve">The community of boat owners are locked into </w:t>
      </w:r>
      <w:proofErr w:type="spellStart"/>
      <w:r>
        <w:rPr>
          <w:sz w:val="20"/>
          <w:szCs w:val="20"/>
        </w:rPr>
        <w:t>PoJ</w:t>
      </w:r>
      <w:proofErr w:type="spellEnd"/>
      <w:r>
        <w:rPr>
          <w:sz w:val="20"/>
          <w:szCs w:val="20"/>
        </w:rPr>
        <w:t xml:space="preserve"> moorings and berths – there are no other berthing o</w:t>
      </w:r>
      <w:r w:rsidR="00C8700A">
        <w:rPr>
          <w:sz w:val="20"/>
          <w:szCs w:val="20"/>
        </w:rPr>
        <w:t xml:space="preserve">ptions for </w:t>
      </w:r>
      <w:proofErr w:type="gramStart"/>
      <w:r w:rsidR="00C8700A">
        <w:rPr>
          <w:sz w:val="20"/>
          <w:szCs w:val="20"/>
        </w:rPr>
        <w:t>the vast majority of</w:t>
      </w:r>
      <w:proofErr w:type="gramEnd"/>
      <w:r w:rsidR="00C8700A">
        <w:rPr>
          <w:sz w:val="20"/>
          <w:szCs w:val="20"/>
        </w:rPr>
        <w:t xml:space="preserve"> </w:t>
      </w:r>
      <w:r>
        <w:rPr>
          <w:sz w:val="20"/>
          <w:szCs w:val="20"/>
        </w:rPr>
        <w:t>our boat owners, who live locally. Unlike some other products and services for which a consumer has a choice to either continue or stop using, we need to continue berthing our boats. Some may wish to sell their boats because of escalating costs, but that is not an easy or quick process.</w:t>
      </w:r>
    </w:p>
    <w:p w14:paraId="30299BE5" w14:textId="77777777" w:rsidR="00FF78EC" w:rsidRDefault="00FC5008" w:rsidP="00FF78EC">
      <w:pPr>
        <w:rPr>
          <w:sz w:val="20"/>
          <w:szCs w:val="20"/>
        </w:rPr>
      </w:pPr>
      <w:r>
        <w:rPr>
          <w:sz w:val="20"/>
          <w:szCs w:val="20"/>
        </w:rPr>
        <w:t>As part of our</w:t>
      </w:r>
      <w:r w:rsidR="00FF78EC">
        <w:rPr>
          <w:sz w:val="20"/>
          <w:szCs w:val="20"/>
        </w:rPr>
        <w:t xml:space="preserve"> response to this fee increase, the Jersey boat owning community has engaged with JCRA. </w:t>
      </w:r>
      <w:r w:rsidR="00F00E08">
        <w:rPr>
          <w:sz w:val="20"/>
          <w:szCs w:val="20"/>
        </w:rPr>
        <w:t xml:space="preserve">We acknowledge </w:t>
      </w:r>
      <w:proofErr w:type="spellStart"/>
      <w:r w:rsidR="00FF78EC">
        <w:rPr>
          <w:sz w:val="20"/>
          <w:szCs w:val="20"/>
        </w:rPr>
        <w:t>PoJ</w:t>
      </w:r>
      <w:proofErr w:type="spellEnd"/>
      <w:r w:rsidR="00FF78EC">
        <w:rPr>
          <w:sz w:val="20"/>
          <w:szCs w:val="20"/>
        </w:rPr>
        <w:t xml:space="preserve"> have acted within their authority under the </w:t>
      </w:r>
      <w:r>
        <w:rPr>
          <w:sz w:val="20"/>
          <w:szCs w:val="20"/>
        </w:rPr>
        <w:t>fee framework</w:t>
      </w:r>
      <w:r w:rsidR="00FF78EC">
        <w:rPr>
          <w:sz w:val="20"/>
          <w:szCs w:val="20"/>
        </w:rPr>
        <w:t xml:space="preserve">, and there do not appear to be grounds for a referral to JCRA specifically on the rate of fee increase. However, if </w:t>
      </w:r>
      <w:r w:rsidR="00C8700A">
        <w:rPr>
          <w:sz w:val="20"/>
          <w:szCs w:val="20"/>
        </w:rPr>
        <w:t xml:space="preserve">it transpires that </w:t>
      </w:r>
      <w:r w:rsidR="00FF78EC">
        <w:rPr>
          <w:sz w:val="20"/>
          <w:szCs w:val="20"/>
        </w:rPr>
        <w:t>the private boat owners have been treated unfairly in relation to other customers, for example commercial customers whose fees have not been increased at the same rate, or that complaints have been under-reported, there is scope for raising an issue with JCRA under Guideline 5 – Abuse of a dominant position.</w:t>
      </w:r>
    </w:p>
    <w:p w14:paraId="474E765C" w14:textId="77777777" w:rsidR="00FF78EC" w:rsidRDefault="00FF78EC" w:rsidP="00B72BE6">
      <w:pPr>
        <w:pStyle w:val="ListParagraph"/>
        <w:ind w:left="0"/>
        <w:rPr>
          <w:sz w:val="20"/>
          <w:szCs w:val="20"/>
        </w:rPr>
      </w:pPr>
      <w:r>
        <w:rPr>
          <w:sz w:val="20"/>
          <w:szCs w:val="20"/>
        </w:rPr>
        <w:t xml:space="preserve">We recognise there </w:t>
      </w:r>
      <w:r w:rsidR="00EF6D08">
        <w:rPr>
          <w:sz w:val="20"/>
          <w:szCs w:val="20"/>
        </w:rPr>
        <w:t>have been</w:t>
      </w:r>
      <w:r>
        <w:rPr>
          <w:sz w:val="20"/>
          <w:szCs w:val="20"/>
        </w:rPr>
        <w:t xml:space="preserve"> inflationary pressures</w:t>
      </w:r>
      <w:r w:rsidR="00EF6D08">
        <w:rPr>
          <w:sz w:val="20"/>
          <w:szCs w:val="20"/>
        </w:rPr>
        <w:t xml:space="preserve"> in </w:t>
      </w:r>
      <w:r w:rsidR="00BD16A8">
        <w:rPr>
          <w:sz w:val="20"/>
          <w:szCs w:val="20"/>
        </w:rPr>
        <w:t xml:space="preserve">all </w:t>
      </w:r>
      <w:r w:rsidR="00EF6D08">
        <w:rPr>
          <w:sz w:val="20"/>
          <w:szCs w:val="20"/>
        </w:rPr>
        <w:t>economies</w:t>
      </w:r>
      <w:r w:rsidR="00140175">
        <w:rPr>
          <w:sz w:val="20"/>
          <w:szCs w:val="20"/>
        </w:rPr>
        <w:t xml:space="preserve">, that </w:t>
      </w:r>
      <w:proofErr w:type="spellStart"/>
      <w:r w:rsidR="00140175">
        <w:rPr>
          <w:sz w:val="20"/>
          <w:szCs w:val="20"/>
        </w:rPr>
        <w:t>PoJ</w:t>
      </w:r>
      <w:proofErr w:type="spellEnd"/>
      <w:r w:rsidR="00140175">
        <w:rPr>
          <w:sz w:val="20"/>
          <w:szCs w:val="20"/>
        </w:rPr>
        <w:t xml:space="preserve"> needs a</w:t>
      </w:r>
      <w:r>
        <w:rPr>
          <w:sz w:val="20"/>
          <w:szCs w:val="20"/>
        </w:rPr>
        <w:t xml:space="preserve"> strategy to regenerate the </w:t>
      </w:r>
      <w:r w:rsidR="00EF6D08">
        <w:rPr>
          <w:sz w:val="20"/>
          <w:szCs w:val="20"/>
        </w:rPr>
        <w:t xml:space="preserve">port and airport, and that the pandemic had an adverse impact on </w:t>
      </w:r>
      <w:proofErr w:type="spellStart"/>
      <w:r w:rsidR="00EF6D08">
        <w:rPr>
          <w:sz w:val="20"/>
          <w:szCs w:val="20"/>
        </w:rPr>
        <w:t>PoJ</w:t>
      </w:r>
      <w:proofErr w:type="spellEnd"/>
      <w:r w:rsidR="00EF6D08">
        <w:rPr>
          <w:sz w:val="20"/>
          <w:szCs w:val="20"/>
        </w:rPr>
        <w:t>,</w:t>
      </w:r>
      <w:r w:rsidR="00CE6D48">
        <w:rPr>
          <w:sz w:val="20"/>
          <w:szCs w:val="20"/>
        </w:rPr>
        <w:t xml:space="preserve"> (</w:t>
      </w:r>
      <w:r w:rsidR="005C6C96">
        <w:rPr>
          <w:sz w:val="20"/>
          <w:szCs w:val="20"/>
        </w:rPr>
        <w:t xml:space="preserve">as it did on businesses, </w:t>
      </w:r>
      <w:proofErr w:type="gramStart"/>
      <w:r w:rsidR="005C6C96">
        <w:rPr>
          <w:sz w:val="20"/>
          <w:szCs w:val="20"/>
        </w:rPr>
        <w:t>indivi</w:t>
      </w:r>
      <w:r w:rsidR="00EF6D08">
        <w:rPr>
          <w:sz w:val="20"/>
          <w:szCs w:val="20"/>
        </w:rPr>
        <w:t>d</w:t>
      </w:r>
      <w:r w:rsidR="005C6C96">
        <w:rPr>
          <w:sz w:val="20"/>
          <w:szCs w:val="20"/>
        </w:rPr>
        <w:t>ua</w:t>
      </w:r>
      <w:r w:rsidR="00EF6D08">
        <w:rPr>
          <w:sz w:val="20"/>
          <w:szCs w:val="20"/>
        </w:rPr>
        <w:t>ls</w:t>
      </w:r>
      <w:proofErr w:type="gramEnd"/>
      <w:r w:rsidR="00EF6D08">
        <w:rPr>
          <w:sz w:val="20"/>
          <w:szCs w:val="20"/>
        </w:rPr>
        <w:t xml:space="preserve"> and communities around the world</w:t>
      </w:r>
      <w:r w:rsidR="005C6C96">
        <w:rPr>
          <w:sz w:val="20"/>
          <w:szCs w:val="20"/>
        </w:rPr>
        <w:t>)</w:t>
      </w:r>
      <w:r w:rsidR="00EF6D08">
        <w:rPr>
          <w:sz w:val="20"/>
          <w:szCs w:val="20"/>
        </w:rPr>
        <w:t>.</w:t>
      </w:r>
      <w:r>
        <w:rPr>
          <w:sz w:val="20"/>
          <w:szCs w:val="20"/>
        </w:rPr>
        <w:t xml:space="preserve"> </w:t>
      </w:r>
      <w:r w:rsidR="00BD16A8">
        <w:rPr>
          <w:sz w:val="20"/>
          <w:szCs w:val="20"/>
        </w:rPr>
        <w:t>An increase in fees of this level</w:t>
      </w:r>
      <w:r w:rsidR="00BD16A8" w:rsidRPr="00BD16A8">
        <w:rPr>
          <w:sz w:val="20"/>
          <w:szCs w:val="20"/>
        </w:rPr>
        <w:t xml:space="preserve"> </w:t>
      </w:r>
      <w:r w:rsidR="00BD16A8">
        <w:rPr>
          <w:sz w:val="20"/>
          <w:szCs w:val="20"/>
        </w:rPr>
        <w:t>will fuel inflationary pressures on the island at a time when underlying inflation is falling</w:t>
      </w:r>
      <w:r w:rsidR="00140175">
        <w:rPr>
          <w:sz w:val="20"/>
          <w:szCs w:val="20"/>
        </w:rPr>
        <w:t xml:space="preserve"> sharply</w:t>
      </w:r>
      <w:r w:rsidR="00BD16A8">
        <w:rPr>
          <w:sz w:val="20"/>
          <w:szCs w:val="20"/>
        </w:rPr>
        <w:t>.</w:t>
      </w:r>
    </w:p>
    <w:p w14:paraId="281F7CEB" w14:textId="77777777" w:rsidR="00EF6D08" w:rsidRDefault="00EF6D08" w:rsidP="00B72BE6">
      <w:pPr>
        <w:pStyle w:val="ListParagraph"/>
        <w:ind w:left="0"/>
        <w:rPr>
          <w:sz w:val="20"/>
          <w:szCs w:val="20"/>
        </w:rPr>
      </w:pPr>
    </w:p>
    <w:p w14:paraId="5B080083" w14:textId="77777777" w:rsidR="004F5C73" w:rsidRDefault="00EF6D08" w:rsidP="00B72BE6">
      <w:pPr>
        <w:pStyle w:val="ListParagraph"/>
        <w:ind w:left="0"/>
        <w:rPr>
          <w:sz w:val="20"/>
          <w:szCs w:val="20"/>
        </w:rPr>
      </w:pPr>
      <w:r>
        <w:rPr>
          <w:sz w:val="20"/>
          <w:szCs w:val="20"/>
        </w:rPr>
        <w:t xml:space="preserve">It is our belief that </w:t>
      </w:r>
      <w:proofErr w:type="spellStart"/>
      <w:r>
        <w:rPr>
          <w:sz w:val="20"/>
          <w:szCs w:val="20"/>
        </w:rPr>
        <w:t>PoJ</w:t>
      </w:r>
      <w:proofErr w:type="spellEnd"/>
      <w:r>
        <w:rPr>
          <w:sz w:val="20"/>
          <w:szCs w:val="20"/>
        </w:rPr>
        <w:t xml:space="preserve"> is abusing its dominant power in the final year of the JCRA pricing framework by using a statistical anomaly to levy unfair and unjustifiable fee increases</w:t>
      </w:r>
      <w:r w:rsidR="00223D6E">
        <w:rPr>
          <w:sz w:val="20"/>
          <w:szCs w:val="20"/>
        </w:rPr>
        <w:t xml:space="preserve">. </w:t>
      </w:r>
      <w:r w:rsidR="004F5C73">
        <w:rPr>
          <w:sz w:val="20"/>
          <w:szCs w:val="20"/>
        </w:rPr>
        <w:t xml:space="preserve">We do not accept the reasons given for the </w:t>
      </w:r>
      <w:r w:rsidR="006F616F">
        <w:rPr>
          <w:sz w:val="20"/>
          <w:szCs w:val="20"/>
        </w:rPr>
        <w:t xml:space="preserve">increase as being </w:t>
      </w:r>
      <w:r w:rsidR="004F5C73">
        <w:rPr>
          <w:sz w:val="20"/>
          <w:szCs w:val="20"/>
        </w:rPr>
        <w:t xml:space="preserve">fair to our group of users of </w:t>
      </w:r>
      <w:proofErr w:type="spellStart"/>
      <w:r w:rsidR="004F5C73">
        <w:rPr>
          <w:sz w:val="20"/>
          <w:szCs w:val="20"/>
        </w:rPr>
        <w:t>PoJ</w:t>
      </w:r>
      <w:proofErr w:type="spellEnd"/>
      <w:r w:rsidR="004F5C73">
        <w:rPr>
          <w:sz w:val="20"/>
          <w:szCs w:val="20"/>
        </w:rPr>
        <w:t xml:space="preserve"> services</w:t>
      </w:r>
      <w:r w:rsidR="00F00E08">
        <w:rPr>
          <w:sz w:val="20"/>
          <w:szCs w:val="20"/>
        </w:rPr>
        <w:t xml:space="preserve">, </w:t>
      </w:r>
      <w:r w:rsidR="00CE6D48">
        <w:rPr>
          <w:sz w:val="20"/>
          <w:szCs w:val="20"/>
        </w:rPr>
        <w:t xml:space="preserve">but </w:t>
      </w:r>
      <w:r w:rsidR="006F616F">
        <w:rPr>
          <w:sz w:val="20"/>
          <w:szCs w:val="20"/>
        </w:rPr>
        <w:t xml:space="preserve">instead </w:t>
      </w:r>
      <w:r w:rsidR="00CE6D48">
        <w:rPr>
          <w:sz w:val="20"/>
          <w:szCs w:val="20"/>
        </w:rPr>
        <w:t xml:space="preserve">constitutes </w:t>
      </w:r>
      <w:r w:rsidR="006F616F">
        <w:rPr>
          <w:sz w:val="20"/>
          <w:szCs w:val="20"/>
        </w:rPr>
        <w:t xml:space="preserve">a cross-subsidisation of other parts of </w:t>
      </w:r>
      <w:proofErr w:type="spellStart"/>
      <w:r w:rsidR="006F616F">
        <w:rPr>
          <w:sz w:val="20"/>
          <w:szCs w:val="20"/>
        </w:rPr>
        <w:t>PoJ</w:t>
      </w:r>
      <w:proofErr w:type="spellEnd"/>
      <w:r w:rsidR="004F5C73">
        <w:rPr>
          <w:sz w:val="20"/>
          <w:szCs w:val="20"/>
        </w:rPr>
        <w:t xml:space="preserve">. We </w:t>
      </w:r>
      <w:r w:rsidR="00223D6E">
        <w:rPr>
          <w:sz w:val="20"/>
          <w:szCs w:val="20"/>
        </w:rPr>
        <w:t xml:space="preserve">also </w:t>
      </w:r>
      <w:r w:rsidR="004F5C73">
        <w:rPr>
          <w:sz w:val="20"/>
          <w:szCs w:val="20"/>
        </w:rPr>
        <w:t xml:space="preserve">note this increase </w:t>
      </w:r>
      <w:r w:rsidR="00223D6E">
        <w:rPr>
          <w:sz w:val="20"/>
          <w:szCs w:val="20"/>
        </w:rPr>
        <w:t xml:space="preserve">has the benefit to </w:t>
      </w:r>
      <w:proofErr w:type="spellStart"/>
      <w:r w:rsidR="00223D6E">
        <w:rPr>
          <w:sz w:val="20"/>
          <w:szCs w:val="20"/>
        </w:rPr>
        <w:t>PoJ</w:t>
      </w:r>
      <w:proofErr w:type="spellEnd"/>
      <w:r w:rsidR="00223D6E">
        <w:rPr>
          <w:sz w:val="20"/>
          <w:szCs w:val="20"/>
        </w:rPr>
        <w:t xml:space="preserve"> of</w:t>
      </w:r>
      <w:r w:rsidR="00BD16A8">
        <w:rPr>
          <w:sz w:val="20"/>
          <w:szCs w:val="20"/>
        </w:rPr>
        <w:t xml:space="preserve"> inflat</w:t>
      </w:r>
      <w:r w:rsidR="00223D6E">
        <w:rPr>
          <w:sz w:val="20"/>
          <w:szCs w:val="20"/>
        </w:rPr>
        <w:t>ing</w:t>
      </w:r>
      <w:r w:rsidR="00BD16A8">
        <w:rPr>
          <w:sz w:val="20"/>
          <w:szCs w:val="20"/>
        </w:rPr>
        <w:t xml:space="preserve"> the starting point for the fee framework for the next </w:t>
      </w:r>
      <w:proofErr w:type="gramStart"/>
      <w:r w:rsidR="00BD16A8">
        <w:rPr>
          <w:sz w:val="20"/>
          <w:szCs w:val="20"/>
        </w:rPr>
        <w:t>5 year</w:t>
      </w:r>
      <w:proofErr w:type="gramEnd"/>
      <w:r w:rsidR="00BD16A8">
        <w:rPr>
          <w:sz w:val="20"/>
          <w:szCs w:val="20"/>
        </w:rPr>
        <w:t xml:space="preserve"> review period. </w:t>
      </w:r>
    </w:p>
    <w:p w14:paraId="5D0883D2" w14:textId="77777777" w:rsidR="004F5C73" w:rsidRDefault="004F5C73" w:rsidP="00B72BE6">
      <w:pPr>
        <w:pStyle w:val="ListParagraph"/>
        <w:ind w:left="0"/>
        <w:rPr>
          <w:sz w:val="20"/>
          <w:szCs w:val="20"/>
        </w:rPr>
      </w:pPr>
    </w:p>
    <w:p w14:paraId="2AB5EE26" w14:textId="77777777" w:rsidR="00EF6D08" w:rsidRDefault="004F5C73" w:rsidP="00B72BE6">
      <w:pPr>
        <w:pStyle w:val="ListParagraph"/>
        <w:ind w:left="0"/>
        <w:rPr>
          <w:sz w:val="20"/>
          <w:szCs w:val="20"/>
        </w:rPr>
      </w:pPr>
      <w:r>
        <w:rPr>
          <w:sz w:val="20"/>
          <w:szCs w:val="20"/>
        </w:rPr>
        <w:t>In addition, we</w:t>
      </w:r>
      <w:r w:rsidR="00BD16A8">
        <w:rPr>
          <w:sz w:val="20"/>
          <w:szCs w:val="20"/>
        </w:rPr>
        <w:t xml:space="preserve"> believe that the announcement of this decision at the end of November, only 5 weeks before it comes into force (and when 2 </w:t>
      </w:r>
      <w:r w:rsidR="00223D6E">
        <w:rPr>
          <w:sz w:val="20"/>
          <w:szCs w:val="20"/>
        </w:rPr>
        <w:t>of those 5</w:t>
      </w:r>
      <w:r w:rsidR="00BD16A8">
        <w:rPr>
          <w:sz w:val="20"/>
          <w:szCs w:val="20"/>
        </w:rPr>
        <w:t xml:space="preserve"> weeks will be disrupted by seasonal festivities and large num</w:t>
      </w:r>
      <w:r w:rsidR="00140175">
        <w:rPr>
          <w:sz w:val="20"/>
          <w:szCs w:val="20"/>
        </w:rPr>
        <w:t>bers of stakeholders on holiday</w:t>
      </w:r>
      <w:r w:rsidR="006F616F">
        <w:rPr>
          <w:sz w:val="20"/>
          <w:szCs w:val="20"/>
        </w:rPr>
        <w:t>)</w:t>
      </w:r>
      <w:r w:rsidR="00BD16A8">
        <w:rPr>
          <w:sz w:val="20"/>
          <w:szCs w:val="20"/>
        </w:rPr>
        <w:t xml:space="preserve"> is designed to block dialogue and consultation, and as such, further evidence of abuse of a dominant position.</w:t>
      </w:r>
    </w:p>
    <w:p w14:paraId="207DFFFF" w14:textId="77777777" w:rsidR="00140175" w:rsidRDefault="00140175" w:rsidP="00B72BE6">
      <w:pPr>
        <w:pStyle w:val="ListParagraph"/>
        <w:ind w:left="0"/>
        <w:rPr>
          <w:sz w:val="20"/>
          <w:szCs w:val="20"/>
        </w:rPr>
      </w:pPr>
    </w:p>
    <w:p w14:paraId="1CD2AB76" w14:textId="77777777" w:rsidR="00EF6D08" w:rsidRDefault="00EF6D08" w:rsidP="00B72BE6">
      <w:pPr>
        <w:pStyle w:val="ListParagraph"/>
        <w:ind w:left="0"/>
        <w:rPr>
          <w:sz w:val="20"/>
          <w:szCs w:val="20"/>
        </w:rPr>
      </w:pPr>
      <w:r>
        <w:rPr>
          <w:sz w:val="20"/>
          <w:szCs w:val="20"/>
        </w:rPr>
        <w:t xml:space="preserve">We request that </w:t>
      </w:r>
      <w:proofErr w:type="spellStart"/>
      <w:r>
        <w:rPr>
          <w:sz w:val="20"/>
          <w:szCs w:val="20"/>
        </w:rPr>
        <w:t>PoJ</w:t>
      </w:r>
      <w:proofErr w:type="spellEnd"/>
      <w:r>
        <w:rPr>
          <w:sz w:val="20"/>
          <w:szCs w:val="20"/>
        </w:rPr>
        <w:t xml:space="preserve"> revisit this decision </w:t>
      </w:r>
      <w:proofErr w:type="gramStart"/>
      <w:r>
        <w:rPr>
          <w:sz w:val="20"/>
          <w:szCs w:val="20"/>
        </w:rPr>
        <w:t xml:space="preserve">and </w:t>
      </w:r>
      <w:r w:rsidR="006F616F">
        <w:rPr>
          <w:sz w:val="20"/>
          <w:szCs w:val="20"/>
        </w:rPr>
        <w:t>:</w:t>
      </w:r>
      <w:proofErr w:type="gramEnd"/>
    </w:p>
    <w:p w14:paraId="59088ED4" w14:textId="77777777" w:rsidR="00EF6D08" w:rsidRDefault="00EF6D08" w:rsidP="00B72BE6">
      <w:pPr>
        <w:pStyle w:val="ListParagraph"/>
        <w:ind w:left="0"/>
        <w:rPr>
          <w:sz w:val="20"/>
          <w:szCs w:val="20"/>
        </w:rPr>
      </w:pPr>
    </w:p>
    <w:p w14:paraId="385C475D" w14:textId="77777777" w:rsidR="00BD16A8" w:rsidRDefault="00EF6D08" w:rsidP="00BD16A8">
      <w:pPr>
        <w:pStyle w:val="ListParagraph"/>
        <w:numPr>
          <w:ilvl w:val="0"/>
          <w:numId w:val="4"/>
        </w:numPr>
        <w:rPr>
          <w:sz w:val="20"/>
          <w:szCs w:val="20"/>
        </w:rPr>
      </w:pPr>
      <w:r w:rsidRPr="00BD16A8">
        <w:rPr>
          <w:sz w:val="20"/>
          <w:szCs w:val="20"/>
        </w:rPr>
        <w:t>Defer t</w:t>
      </w:r>
      <w:r w:rsidR="004F5C73">
        <w:rPr>
          <w:sz w:val="20"/>
          <w:szCs w:val="20"/>
        </w:rPr>
        <w:t>he fee increase to 1 March 2024</w:t>
      </w:r>
      <w:r w:rsidRPr="00BD16A8">
        <w:rPr>
          <w:sz w:val="20"/>
          <w:szCs w:val="20"/>
        </w:rPr>
        <w:t xml:space="preserve"> </w:t>
      </w:r>
    </w:p>
    <w:p w14:paraId="472A8749" w14:textId="77777777" w:rsidR="00BD16A8" w:rsidRDefault="00BD16A8" w:rsidP="00BD16A8">
      <w:pPr>
        <w:pStyle w:val="ListParagraph"/>
        <w:rPr>
          <w:sz w:val="20"/>
          <w:szCs w:val="20"/>
        </w:rPr>
      </w:pPr>
      <w:r>
        <w:rPr>
          <w:sz w:val="20"/>
          <w:szCs w:val="20"/>
        </w:rPr>
        <w:t xml:space="preserve">- </w:t>
      </w:r>
      <w:proofErr w:type="gramStart"/>
      <w:r w:rsidR="00EF6D08" w:rsidRPr="00BD16A8">
        <w:rPr>
          <w:sz w:val="20"/>
          <w:szCs w:val="20"/>
        </w:rPr>
        <w:t>so</w:t>
      </w:r>
      <w:proofErr w:type="gramEnd"/>
      <w:r w:rsidR="00EF6D08" w:rsidRPr="00BD16A8">
        <w:rPr>
          <w:sz w:val="20"/>
          <w:szCs w:val="20"/>
        </w:rPr>
        <w:t xml:space="preserve"> we ar</w:t>
      </w:r>
      <w:r w:rsidR="00CE6D48">
        <w:rPr>
          <w:sz w:val="20"/>
          <w:szCs w:val="20"/>
        </w:rPr>
        <w:t>e not subject to two, inflation-</w:t>
      </w:r>
      <w:r w:rsidR="00EF6D08" w:rsidRPr="00BD16A8">
        <w:rPr>
          <w:sz w:val="20"/>
          <w:szCs w:val="20"/>
        </w:rPr>
        <w:t>exceeding increases in one twelve month period</w:t>
      </w:r>
    </w:p>
    <w:p w14:paraId="4594E6D1" w14:textId="77777777" w:rsidR="00EF6D08" w:rsidRDefault="00BD16A8" w:rsidP="00BD16A8">
      <w:pPr>
        <w:pStyle w:val="ListParagraph"/>
        <w:rPr>
          <w:sz w:val="20"/>
          <w:szCs w:val="20"/>
        </w:rPr>
      </w:pPr>
      <w:r>
        <w:rPr>
          <w:sz w:val="20"/>
          <w:szCs w:val="20"/>
        </w:rPr>
        <w:t xml:space="preserve">- to enable a consultation </w:t>
      </w:r>
      <w:r w:rsidR="00223D6E">
        <w:rPr>
          <w:sz w:val="20"/>
          <w:szCs w:val="20"/>
        </w:rPr>
        <w:t xml:space="preserve">with affected boat owners </w:t>
      </w:r>
      <w:r>
        <w:rPr>
          <w:sz w:val="20"/>
          <w:szCs w:val="20"/>
        </w:rPr>
        <w:t>and dialogue with the JCRA</w:t>
      </w:r>
      <w:r w:rsidRPr="00BD16A8">
        <w:rPr>
          <w:sz w:val="20"/>
          <w:szCs w:val="20"/>
        </w:rPr>
        <w:t>,</w:t>
      </w:r>
    </w:p>
    <w:p w14:paraId="7C67BDF5" w14:textId="77777777" w:rsidR="004F5C73" w:rsidRPr="00BD16A8" w:rsidRDefault="004F5C73" w:rsidP="00BD16A8">
      <w:pPr>
        <w:pStyle w:val="ListParagraph"/>
        <w:rPr>
          <w:sz w:val="20"/>
          <w:szCs w:val="20"/>
        </w:rPr>
      </w:pPr>
    </w:p>
    <w:p w14:paraId="32EF5EA2" w14:textId="77777777" w:rsidR="00EF6D08" w:rsidRDefault="00EF6D08" w:rsidP="00EF6D08">
      <w:pPr>
        <w:pStyle w:val="ListParagraph"/>
        <w:numPr>
          <w:ilvl w:val="0"/>
          <w:numId w:val="4"/>
        </w:numPr>
        <w:rPr>
          <w:sz w:val="20"/>
          <w:szCs w:val="20"/>
        </w:rPr>
      </w:pPr>
      <w:r>
        <w:rPr>
          <w:sz w:val="20"/>
          <w:szCs w:val="20"/>
        </w:rPr>
        <w:t>Limit the fee increase to 5.3%, being underlying inflation to September 2023 (RPI(Y))</w:t>
      </w:r>
    </w:p>
    <w:p w14:paraId="240E45CB" w14:textId="77777777" w:rsidR="00CE6D48" w:rsidRDefault="00CE6D48" w:rsidP="00EF6D08">
      <w:pPr>
        <w:rPr>
          <w:sz w:val="20"/>
          <w:szCs w:val="20"/>
        </w:rPr>
      </w:pPr>
      <w:r>
        <w:rPr>
          <w:sz w:val="20"/>
          <w:szCs w:val="20"/>
        </w:rPr>
        <w:t xml:space="preserve">In view of the </w:t>
      </w:r>
      <w:proofErr w:type="gramStart"/>
      <w:r>
        <w:rPr>
          <w:sz w:val="20"/>
          <w:szCs w:val="20"/>
        </w:rPr>
        <w:t>close proximity</w:t>
      </w:r>
      <w:proofErr w:type="gramEnd"/>
      <w:r>
        <w:rPr>
          <w:sz w:val="20"/>
          <w:szCs w:val="20"/>
        </w:rPr>
        <w:t xml:space="preserve"> to the implementation date </w:t>
      </w:r>
      <w:r w:rsidR="0034142C">
        <w:rPr>
          <w:sz w:val="20"/>
          <w:szCs w:val="20"/>
        </w:rPr>
        <w:t xml:space="preserve">for </w:t>
      </w:r>
      <w:r>
        <w:rPr>
          <w:sz w:val="20"/>
          <w:szCs w:val="20"/>
        </w:rPr>
        <w:t>planned fee increase, we request a response from you by Friday 15 December.</w:t>
      </w:r>
    </w:p>
    <w:p w14:paraId="52984786" w14:textId="77777777" w:rsidR="00EF6D08" w:rsidRPr="00EF6D08" w:rsidRDefault="00CE6D48" w:rsidP="00EF6D08">
      <w:pPr>
        <w:rPr>
          <w:sz w:val="20"/>
          <w:szCs w:val="20"/>
        </w:rPr>
      </w:pPr>
      <w:r>
        <w:rPr>
          <w:sz w:val="20"/>
          <w:szCs w:val="20"/>
        </w:rPr>
        <w:t xml:space="preserve"> </w:t>
      </w:r>
      <w:r w:rsidR="00EF6D08">
        <w:rPr>
          <w:sz w:val="20"/>
          <w:szCs w:val="20"/>
        </w:rPr>
        <w:t>We have copied this letter to Jersey Competition Regulatory Authority for their information</w:t>
      </w:r>
      <w:r w:rsidR="004F5C73">
        <w:rPr>
          <w:sz w:val="20"/>
          <w:szCs w:val="20"/>
        </w:rPr>
        <w:t>, as they requested</w:t>
      </w:r>
      <w:r w:rsidR="00EF6D08">
        <w:rPr>
          <w:sz w:val="20"/>
          <w:szCs w:val="20"/>
        </w:rPr>
        <w:t>.</w:t>
      </w:r>
    </w:p>
    <w:p w14:paraId="36FCC429" w14:textId="77777777" w:rsidR="00EF6D08" w:rsidRDefault="00EF6D08" w:rsidP="00EF6D08">
      <w:pPr>
        <w:rPr>
          <w:sz w:val="20"/>
          <w:szCs w:val="20"/>
        </w:rPr>
      </w:pPr>
      <w:r>
        <w:rPr>
          <w:sz w:val="20"/>
          <w:szCs w:val="20"/>
        </w:rPr>
        <w:t xml:space="preserve">Yours Sincerely </w:t>
      </w:r>
    </w:p>
    <w:p w14:paraId="5675F829" w14:textId="77777777" w:rsidR="003E4E61" w:rsidRDefault="003E4E61" w:rsidP="003E4E61">
      <w:pPr>
        <w:rPr>
          <w:sz w:val="20"/>
          <w:szCs w:val="20"/>
        </w:rPr>
      </w:pPr>
    </w:p>
    <w:p w14:paraId="06BE226D" w14:textId="77777777" w:rsidR="003E4E61" w:rsidRDefault="003E4E61" w:rsidP="003E4E61">
      <w:pPr>
        <w:rPr>
          <w:sz w:val="20"/>
          <w:szCs w:val="20"/>
        </w:rPr>
      </w:pPr>
    </w:p>
    <w:p w14:paraId="19FE22A0" w14:textId="473B67CB" w:rsidR="00E932BF" w:rsidRDefault="003E4E61" w:rsidP="003E4E61">
      <w:pPr>
        <w:rPr>
          <w:sz w:val="20"/>
          <w:szCs w:val="20"/>
        </w:rPr>
      </w:pPr>
      <w:r w:rsidRPr="00011C41">
        <w:rPr>
          <w:b/>
          <w:bCs/>
          <w:iCs/>
          <w:sz w:val="24"/>
          <w:szCs w:val="24"/>
        </w:rPr>
        <w:t>St Helier Boat Owners Association</w:t>
      </w:r>
    </w:p>
    <w:p w14:paraId="458323C6" w14:textId="77777777" w:rsidR="00140175" w:rsidRDefault="00140175">
      <w:pPr>
        <w:rPr>
          <w:sz w:val="20"/>
          <w:szCs w:val="20"/>
        </w:rPr>
      </w:pPr>
    </w:p>
    <w:p w14:paraId="53003FFD" w14:textId="77777777" w:rsidR="00140175" w:rsidRDefault="00140175">
      <w:pPr>
        <w:rPr>
          <w:sz w:val="20"/>
          <w:szCs w:val="20"/>
        </w:rPr>
      </w:pPr>
      <w:r>
        <w:rPr>
          <w:sz w:val="20"/>
          <w:szCs w:val="20"/>
        </w:rPr>
        <w:t>Cc    Jenny Marek-Murray, CFO Ports of Jersey</w:t>
      </w:r>
    </w:p>
    <w:p w14:paraId="4BA3BDAD" w14:textId="77777777" w:rsidR="00223D6E" w:rsidRPr="00140175" w:rsidRDefault="00140175">
      <w:pPr>
        <w:rPr>
          <w:sz w:val="20"/>
          <w:szCs w:val="20"/>
        </w:rPr>
      </w:pPr>
      <w:r>
        <w:rPr>
          <w:sz w:val="20"/>
          <w:szCs w:val="20"/>
        </w:rPr>
        <w:t>Cc    Jersey Competition Regulatory Authority</w:t>
      </w:r>
      <w:r w:rsidR="00223D6E" w:rsidRPr="003C3E36">
        <w:rPr>
          <w:i/>
          <w:sz w:val="20"/>
          <w:szCs w:val="20"/>
        </w:rPr>
        <w:br w:type="page"/>
      </w:r>
    </w:p>
    <w:p w14:paraId="63B07DD9" w14:textId="77777777" w:rsidR="005C6C96" w:rsidRDefault="00CC41F9" w:rsidP="005C6C96">
      <w:pPr>
        <w:rPr>
          <w:sz w:val="20"/>
          <w:szCs w:val="20"/>
        </w:rPr>
      </w:pPr>
      <w:r>
        <w:rPr>
          <w:sz w:val="20"/>
          <w:szCs w:val="20"/>
        </w:rPr>
        <w:lastRenderedPageBreak/>
        <w:t>A</w:t>
      </w:r>
      <w:r w:rsidR="005C6C96">
        <w:rPr>
          <w:sz w:val="20"/>
          <w:szCs w:val="20"/>
        </w:rPr>
        <w:t>ppendix 1</w:t>
      </w:r>
    </w:p>
    <w:p w14:paraId="04D8CC2C" w14:textId="77777777" w:rsidR="005C6C96" w:rsidRDefault="005C6C96" w:rsidP="005C6C96">
      <w:pPr>
        <w:pStyle w:val="ListParagraph"/>
        <w:ind w:left="0"/>
        <w:rPr>
          <w:b/>
          <w:sz w:val="20"/>
          <w:szCs w:val="20"/>
        </w:rPr>
      </w:pPr>
      <w:r w:rsidRPr="00004CFB">
        <w:rPr>
          <w:b/>
          <w:sz w:val="20"/>
          <w:szCs w:val="20"/>
        </w:rPr>
        <w:t xml:space="preserve">Jersey inflation </w:t>
      </w:r>
    </w:p>
    <w:p w14:paraId="0C1D5B66" w14:textId="77777777" w:rsidR="005C6C96" w:rsidRDefault="005C6C96" w:rsidP="005C6C96">
      <w:pPr>
        <w:rPr>
          <w:sz w:val="20"/>
          <w:szCs w:val="20"/>
        </w:rPr>
      </w:pPr>
      <w:r>
        <w:rPr>
          <w:sz w:val="20"/>
          <w:szCs w:val="20"/>
        </w:rPr>
        <w:t xml:space="preserve">Figures for Jersey inflation </w:t>
      </w:r>
      <w:proofErr w:type="gramStart"/>
      <w:r>
        <w:rPr>
          <w:sz w:val="20"/>
          <w:szCs w:val="20"/>
        </w:rPr>
        <w:t>are</w:t>
      </w:r>
      <w:proofErr w:type="gramEnd"/>
      <w:r>
        <w:rPr>
          <w:sz w:val="20"/>
          <w:szCs w:val="20"/>
        </w:rPr>
        <w:t xml:space="preserve"> produced quarterly by Statistics Jersey. Because of the significant distorting effect of housing costs on the index, and the fact the measure is used across such a breadth of different purposes, Statistics Jersey produce three different RPIs relevant to this subject:</w:t>
      </w:r>
    </w:p>
    <w:p w14:paraId="5D48205C" w14:textId="77777777" w:rsidR="005C6C96" w:rsidRDefault="005C6C96" w:rsidP="005C6C96">
      <w:pPr>
        <w:pStyle w:val="ListParagraph"/>
        <w:numPr>
          <w:ilvl w:val="0"/>
          <w:numId w:val="3"/>
        </w:numPr>
        <w:rPr>
          <w:sz w:val="20"/>
          <w:szCs w:val="20"/>
        </w:rPr>
      </w:pPr>
      <w:r>
        <w:rPr>
          <w:sz w:val="20"/>
          <w:szCs w:val="20"/>
        </w:rPr>
        <w:t xml:space="preserve">all-items </w:t>
      </w:r>
      <w:r w:rsidRPr="00D83C27">
        <w:rPr>
          <w:sz w:val="20"/>
          <w:szCs w:val="20"/>
        </w:rPr>
        <w:t>RPI</w:t>
      </w:r>
      <w:r>
        <w:rPr>
          <w:sz w:val="20"/>
          <w:szCs w:val="20"/>
        </w:rPr>
        <w:t xml:space="preserve"> (the ‘headline’ rate)</w:t>
      </w:r>
    </w:p>
    <w:p w14:paraId="330E4E20" w14:textId="77777777" w:rsidR="005C6C96" w:rsidRDefault="005C6C96" w:rsidP="005C6C96">
      <w:pPr>
        <w:pStyle w:val="ListParagraph"/>
        <w:numPr>
          <w:ilvl w:val="0"/>
          <w:numId w:val="3"/>
        </w:numPr>
        <w:rPr>
          <w:sz w:val="20"/>
          <w:szCs w:val="20"/>
        </w:rPr>
      </w:pPr>
      <w:r w:rsidRPr="00D83C27">
        <w:rPr>
          <w:sz w:val="20"/>
          <w:szCs w:val="20"/>
        </w:rPr>
        <w:t xml:space="preserve">RPI </w:t>
      </w:r>
      <w:r>
        <w:rPr>
          <w:sz w:val="20"/>
          <w:szCs w:val="20"/>
        </w:rPr>
        <w:t xml:space="preserve">(X), which </w:t>
      </w:r>
      <w:r w:rsidRPr="00D83C27">
        <w:rPr>
          <w:sz w:val="20"/>
          <w:szCs w:val="20"/>
        </w:rPr>
        <w:t>exclud</w:t>
      </w:r>
      <w:r>
        <w:rPr>
          <w:sz w:val="20"/>
          <w:szCs w:val="20"/>
        </w:rPr>
        <w:t xml:space="preserve">es </w:t>
      </w:r>
      <w:r w:rsidRPr="00D83C27">
        <w:rPr>
          <w:sz w:val="20"/>
          <w:szCs w:val="20"/>
        </w:rPr>
        <w:t>the effect of changes in housing costs (a composite of mortgage and rent inflati</w:t>
      </w:r>
      <w:r>
        <w:rPr>
          <w:sz w:val="20"/>
          <w:szCs w:val="20"/>
        </w:rPr>
        <w:t xml:space="preserve">onary factors) </w:t>
      </w:r>
    </w:p>
    <w:p w14:paraId="46D80042" w14:textId="77777777" w:rsidR="005C6C96" w:rsidRPr="00D00B0C" w:rsidRDefault="005C6C96" w:rsidP="005C6C96">
      <w:pPr>
        <w:pStyle w:val="ListParagraph"/>
        <w:numPr>
          <w:ilvl w:val="0"/>
          <w:numId w:val="3"/>
        </w:numPr>
        <w:rPr>
          <w:sz w:val="20"/>
          <w:szCs w:val="20"/>
        </w:rPr>
      </w:pPr>
      <w:r w:rsidRPr="00D83C27">
        <w:rPr>
          <w:sz w:val="20"/>
          <w:szCs w:val="20"/>
        </w:rPr>
        <w:t xml:space="preserve">RPI </w:t>
      </w:r>
      <w:r>
        <w:rPr>
          <w:sz w:val="20"/>
          <w:szCs w:val="20"/>
        </w:rPr>
        <w:t>(Y), which</w:t>
      </w:r>
      <w:r w:rsidRPr="00D83C27">
        <w:rPr>
          <w:sz w:val="20"/>
          <w:szCs w:val="20"/>
        </w:rPr>
        <w:t xml:space="preserve"> exclud</w:t>
      </w:r>
      <w:r>
        <w:rPr>
          <w:sz w:val="20"/>
          <w:szCs w:val="20"/>
        </w:rPr>
        <w:t xml:space="preserve">es both </w:t>
      </w:r>
      <w:r w:rsidRPr="00D83C27">
        <w:rPr>
          <w:sz w:val="20"/>
          <w:szCs w:val="20"/>
        </w:rPr>
        <w:t>housing costs</w:t>
      </w:r>
      <w:r>
        <w:rPr>
          <w:sz w:val="20"/>
          <w:szCs w:val="20"/>
        </w:rPr>
        <w:t xml:space="preserve"> and indirect </w:t>
      </w:r>
      <w:proofErr w:type="gramStart"/>
      <w:r>
        <w:rPr>
          <w:sz w:val="20"/>
          <w:szCs w:val="20"/>
        </w:rPr>
        <w:t>taxes</w:t>
      </w:r>
      <w:proofErr w:type="gramEnd"/>
    </w:p>
    <w:p w14:paraId="678ECDA0" w14:textId="77777777" w:rsidR="005C6C96" w:rsidRDefault="005C6C96" w:rsidP="005C6C96">
      <w:pPr>
        <w:rPr>
          <w:sz w:val="20"/>
          <w:szCs w:val="20"/>
        </w:rPr>
      </w:pPr>
      <w:r>
        <w:rPr>
          <w:sz w:val="20"/>
          <w:szCs w:val="20"/>
        </w:rPr>
        <w:t>S</w:t>
      </w:r>
      <w:r w:rsidRPr="00D00B0C">
        <w:rPr>
          <w:sz w:val="20"/>
          <w:szCs w:val="20"/>
        </w:rPr>
        <w:t xml:space="preserve">tatistics Jersey </w:t>
      </w:r>
      <w:r>
        <w:rPr>
          <w:sz w:val="20"/>
          <w:szCs w:val="20"/>
        </w:rPr>
        <w:t xml:space="preserve">describe RPI(Y) as </w:t>
      </w:r>
      <w:r w:rsidRPr="00D00B0C">
        <w:rPr>
          <w:sz w:val="20"/>
          <w:szCs w:val="20"/>
        </w:rPr>
        <w:t>‘underlying inflation’</w:t>
      </w:r>
      <w:r>
        <w:rPr>
          <w:sz w:val="20"/>
          <w:szCs w:val="20"/>
        </w:rPr>
        <w:t>.</w:t>
      </w:r>
    </w:p>
    <w:p w14:paraId="6C73514F" w14:textId="77777777" w:rsidR="005C6C96" w:rsidRPr="00D00B0C" w:rsidRDefault="005C6C96" w:rsidP="005C6C96">
      <w:pPr>
        <w:rPr>
          <w:sz w:val="20"/>
          <w:szCs w:val="20"/>
        </w:rPr>
      </w:pPr>
      <w:r>
        <w:rPr>
          <w:sz w:val="20"/>
          <w:szCs w:val="20"/>
        </w:rPr>
        <w:t>The UK equivalent, called CPI (consumer price index), is widely used in indexing adjustments.</w:t>
      </w:r>
    </w:p>
    <w:tbl>
      <w:tblPr>
        <w:tblStyle w:val="TableGrid"/>
        <w:tblW w:w="0" w:type="auto"/>
        <w:tblLook w:val="04A0" w:firstRow="1" w:lastRow="0" w:firstColumn="1" w:lastColumn="0" w:noHBand="0" w:noVBand="1"/>
      </w:tblPr>
      <w:tblGrid>
        <w:gridCol w:w="1765"/>
        <w:gridCol w:w="1130"/>
        <w:gridCol w:w="1020"/>
        <w:gridCol w:w="1020"/>
        <w:gridCol w:w="1130"/>
        <w:gridCol w:w="1130"/>
        <w:gridCol w:w="1068"/>
        <w:gridCol w:w="979"/>
      </w:tblGrid>
      <w:tr w:rsidR="005C6C96" w14:paraId="598D501D" w14:textId="77777777" w:rsidTr="00182031">
        <w:tc>
          <w:tcPr>
            <w:tcW w:w="1765" w:type="dxa"/>
          </w:tcPr>
          <w:p w14:paraId="1F0329E7" w14:textId="77777777" w:rsidR="005C6C96" w:rsidRDefault="005C6C96" w:rsidP="00182031">
            <w:pPr>
              <w:rPr>
                <w:b/>
                <w:sz w:val="20"/>
                <w:szCs w:val="20"/>
              </w:rPr>
            </w:pPr>
          </w:p>
        </w:tc>
        <w:tc>
          <w:tcPr>
            <w:tcW w:w="1130" w:type="dxa"/>
          </w:tcPr>
          <w:p w14:paraId="576B5377" w14:textId="77777777" w:rsidR="005C6C96" w:rsidRDefault="005C6C96" w:rsidP="00182031">
            <w:pPr>
              <w:jc w:val="center"/>
              <w:rPr>
                <w:b/>
                <w:sz w:val="20"/>
                <w:szCs w:val="20"/>
              </w:rPr>
            </w:pPr>
            <w:r>
              <w:rPr>
                <w:b/>
                <w:sz w:val="20"/>
                <w:szCs w:val="20"/>
              </w:rPr>
              <w:t>2023</w:t>
            </w:r>
          </w:p>
          <w:p w14:paraId="4B6DE02F" w14:textId="77777777" w:rsidR="005C6C96" w:rsidRDefault="005C6C96" w:rsidP="00182031">
            <w:pPr>
              <w:jc w:val="center"/>
              <w:rPr>
                <w:b/>
                <w:sz w:val="20"/>
                <w:szCs w:val="20"/>
              </w:rPr>
            </w:pPr>
            <w:r>
              <w:rPr>
                <w:b/>
                <w:sz w:val="20"/>
                <w:szCs w:val="20"/>
              </w:rPr>
              <w:t>%</w:t>
            </w:r>
          </w:p>
        </w:tc>
        <w:tc>
          <w:tcPr>
            <w:tcW w:w="1020" w:type="dxa"/>
          </w:tcPr>
          <w:p w14:paraId="513E50C0" w14:textId="77777777" w:rsidR="005C6C96" w:rsidRDefault="005C6C96" w:rsidP="00182031">
            <w:pPr>
              <w:jc w:val="center"/>
              <w:rPr>
                <w:b/>
                <w:sz w:val="20"/>
                <w:szCs w:val="20"/>
              </w:rPr>
            </w:pPr>
            <w:r>
              <w:rPr>
                <w:b/>
                <w:sz w:val="20"/>
                <w:szCs w:val="20"/>
              </w:rPr>
              <w:t>2022</w:t>
            </w:r>
          </w:p>
          <w:p w14:paraId="5EACC23F" w14:textId="77777777" w:rsidR="005C6C96" w:rsidRDefault="005C6C96" w:rsidP="00182031">
            <w:pPr>
              <w:jc w:val="center"/>
              <w:rPr>
                <w:b/>
                <w:sz w:val="20"/>
                <w:szCs w:val="20"/>
              </w:rPr>
            </w:pPr>
            <w:r>
              <w:rPr>
                <w:b/>
                <w:sz w:val="20"/>
                <w:szCs w:val="20"/>
              </w:rPr>
              <w:t>%</w:t>
            </w:r>
          </w:p>
        </w:tc>
        <w:tc>
          <w:tcPr>
            <w:tcW w:w="1020" w:type="dxa"/>
          </w:tcPr>
          <w:p w14:paraId="24A4C554" w14:textId="77777777" w:rsidR="005C6C96" w:rsidRDefault="005C6C96" w:rsidP="00182031">
            <w:pPr>
              <w:jc w:val="center"/>
              <w:rPr>
                <w:b/>
                <w:sz w:val="20"/>
                <w:szCs w:val="20"/>
              </w:rPr>
            </w:pPr>
            <w:r>
              <w:rPr>
                <w:b/>
                <w:sz w:val="20"/>
                <w:szCs w:val="20"/>
              </w:rPr>
              <w:t>2021</w:t>
            </w:r>
          </w:p>
          <w:p w14:paraId="6032E435" w14:textId="77777777" w:rsidR="005C6C96" w:rsidRDefault="005C6C96" w:rsidP="00182031">
            <w:pPr>
              <w:jc w:val="center"/>
              <w:rPr>
                <w:b/>
                <w:sz w:val="20"/>
                <w:szCs w:val="20"/>
              </w:rPr>
            </w:pPr>
            <w:r>
              <w:rPr>
                <w:b/>
                <w:sz w:val="20"/>
                <w:szCs w:val="20"/>
              </w:rPr>
              <w:t>%</w:t>
            </w:r>
          </w:p>
        </w:tc>
        <w:tc>
          <w:tcPr>
            <w:tcW w:w="1130" w:type="dxa"/>
          </w:tcPr>
          <w:p w14:paraId="1B69A40A" w14:textId="77777777" w:rsidR="005C6C96" w:rsidRDefault="005C6C96" w:rsidP="00182031">
            <w:pPr>
              <w:jc w:val="center"/>
              <w:rPr>
                <w:b/>
                <w:sz w:val="20"/>
                <w:szCs w:val="20"/>
              </w:rPr>
            </w:pPr>
            <w:r>
              <w:rPr>
                <w:b/>
                <w:sz w:val="20"/>
                <w:szCs w:val="20"/>
              </w:rPr>
              <w:t>2020</w:t>
            </w:r>
          </w:p>
          <w:p w14:paraId="3EC6E4DB" w14:textId="77777777" w:rsidR="005C6C96" w:rsidRDefault="005C6C96" w:rsidP="00182031">
            <w:pPr>
              <w:jc w:val="center"/>
              <w:rPr>
                <w:b/>
                <w:sz w:val="20"/>
                <w:szCs w:val="20"/>
              </w:rPr>
            </w:pPr>
            <w:r>
              <w:rPr>
                <w:b/>
                <w:sz w:val="20"/>
                <w:szCs w:val="20"/>
              </w:rPr>
              <w:t>%</w:t>
            </w:r>
          </w:p>
        </w:tc>
        <w:tc>
          <w:tcPr>
            <w:tcW w:w="1130" w:type="dxa"/>
          </w:tcPr>
          <w:p w14:paraId="6F467B80" w14:textId="77777777" w:rsidR="005C6C96" w:rsidRDefault="005C6C96" w:rsidP="00182031">
            <w:pPr>
              <w:jc w:val="center"/>
              <w:rPr>
                <w:b/>
                <w:sz w:val="20"/>
                <w:szCs w:val="20"/>
              </w:rPr>
            </w:pPr>
            <w:r>
              <w:rPr>
                <w:b/>
                <w:sz w:val="20"/>
                <w:szCs w:val="20"/>
              </w:rPr>
              <w:t>2019</w:t>
            </w:r>
          </w:p>
          <w:p w14:paraId="7DFCC473" w14:textId="77777777" w:rsidR="005C6C96" w:rsidRDefault="005C6C96" w:rsidP="00182031">
            <w:pPr>
              <w:jc w:val="center"/>
              <w:rPr>
                <w:b/>
                <w:sz w:val="20"/>
                <w:szCs w:val="20"/>
              </w:rPr>
            </w:pPr>
            <w:r>
              <w:rPr>
                <w:b/>
                <w:sz w:val="20"/>
                <w:szCs w:val="20"/>
              </w:rPr>
              <w:t>%</w:t>
            </w:r>
          </w:p>
        </w:tc>
        <w:tc>
          <w:tcPr>
            <w:tcW w:w="1068" w:type="dxa"/>
          </w:tcPr>
          <w:p w14:paraId="65095FCB" w14:textId="77777777" w:rsidR="005C6C96" w:rsidRDefault="005C6C96" w:rsidP="00182031">
            <w:pPr>
              <w:jc w:val="center"/>
              <w:rPr>
                <w:b/>
                <w:sz w:val="20"/>
                <w:szCs w:val="20"/>
              </w:rPr>
            </w:pPr>
            <w:r>
              <w:rPr>
                <w:b/>
                <w:sz w:val="20"/>
                <w:szCs w:val="20"/>
              </w:rPr>
              <w:t>2018</w:t>
            </w:r>
          </w:p>
          <w:p w14:paraId="33ACDDDE" w14:textId="77777777" w:rsidR="005C6C96" w:rsidRDefault="005C6C96" w:rsidP="00182031">
            <w:pPr>
              <w:jc w:val="center"/>
              <w:rPr>
                <w:b/>
                <w:sz w:val="20"/>
                <w:szCs w:val="20"/>
              </w:rPr>
            </w:pPr>
            <w:r>
              <w:rPr>
                <w:b/>
                <w:sz w:val="20"/>
                <w:szCs w:val="20"/>
              </w:rPr>
              <w:t>%</w:t>
            </w:r>
          </w:p>
        </w:tc>
        <w:tc>
          <w:tcPr>
            <w:tcW w:w="979" w:type="dxa"/>
          </w:tcPr>
          <w:p w14:paraId="09C84F70" w14:textId="77777777" w:rsidR="005C6C96" w:rsidRDefault="005C6C96" w:rsidP="00182031">
            <w:pPr>
              <w:jc w:val="center"/>
              <w:rPr>
                <w:b/>
                <w:sz w:val="20"/>
                <w:szCs w:val="20"/>
              </w:rPr>
            </w:pPr>
            <w:r>
              <w:rPr>
                <w:b/>
                <w:sz w:val="20"/>
                <w:szCs w:val="20"/>
              </w:rPr>
              <w:t>2017</w:t>
            </w:r>
          </w:p>
          <w:p w14:paraId="649C4198" w14:textId="77777777" w:rsidR="005C6C96" w:rsidRDefault="005C6C96" w:rsidP="00182031">
            <w:pPr>
              <w:jc w:val="center"/>
              <w:rPr>
                <w:b/>
                <w:sz w:val="20"/>
                <w:szCs w:val="20"/>
              </w:rPr>
            </w:pPr>
            <w:r>
              <w:rPr>
                <w:b/>
                <w:sz w:val="20"/>
                <w:szCs w:val="20"/>
              </w:rPr>
              <w:t>%</w:t>
            </w:r>
          </w:p>
        </w:tc>
      </w:tr>
      <w:tr w:rsidR="005C6C96" w14:paraId="170B58C8" w14:textId="77777777" w:rsidTr="00182031">
        <w:tc>
          <w:tcPr>
            <w:tcW w:w="1765" w:type="dxa"/>
          </w:tcPr>
          <w:p w14:paraId="1D4757F5" w14:textId="77777777" w:rsidR="005C6C96" w:rsidRPr="001D34C2" w:rsidRDefault="005C6C96" w:rsidP="00182031">
            <w:pPr>
              <w:rPr>
                <w:sz w:val="20"/>
                <w:szCs w:val="20"/>
              </w:rPr>
            </w:pPr>
            <w:r w:rsidRPr="001D34C2">
              <w:rPr>
                <w:sz w:val="20"/>
                <w:szCs w:val="20"/>
              </w:rPr>
              <w:t xml:space="preserve">RPI   September </w:t>
            </w:r>
          </w:p>
        </w:tc>
        <w:tc>
          <w:tcPr>
            <w:tcW w:w="1130" w:type="dxa"/>
          </w:tcPr>
          <w:p w14:paraId="5506094D" w14:textId="77777777" w:rsidR="005C6C96" w:rsidRPr="001D34C2" w:rsidRDefault="005C6C96" w:rsidP="00182031">
            <w:pPr>
              <w:jc w:val="center"/>
              <w:rPr>
                <w:sz w:val="20"/>
                <w:szCs w:val="20"/>
              </w:rPr>
            </w:pPr>
            <w:r w:rsidRPr="001D34C2">
              <w:rPr>
                <w:sz w:val="20"/>
                <w:szCs w:val="20"/>
              </w:rPr>
              <w:t>10.1</w:t>
            </w:r>
          </w:p>
        </w:tc>
        <w:tc>
          <w:tcPr>
            <w:tcW w:w="1020" w:type="dxa"/>
          </w:tcPr>
          <w:p w14:paraId="639FAAC2" w14:textId="77777777" w:rsidR="005C6C96" w:rsidRPr="001D34C2" w:rsidRDefault="005C6C96" w:rsidP="00182031">
            <w:pPr>
              <w:jc w:val="center"/>
              <w:rPr>
                <w:sz w:val="20"/>
                <w:szCs w:val="20"/>
              </w:rPr>
            </w:pPr>
            <w:r>
              <w:rPr>
                <w:sz w:val="20"/>
                <w:szCs w:val="20"/>
              </w:rPr>
              <w:t>10.4</w:t>
            </w:r>
          </w:p>
        </w:tc>
        <w:tc>
          <w:tcPr>
            <w:tcW w:w="1020" w:type="dxa"/>
          </w:tcPr>
          <w:p w14:paraId="7F66C1DE" w14:textId="77777777" w:rsidR="005C6C96" w:rsidRPr="001D34C2" w:rsidRDefault="005C6C96" w:rsidP="00182031">
            <w:pPr>
              <w:jc w:val="center"/>
              <w:rPr>
                <w:sz w:val="20"/>
                <w:szCs w:val="20"/>
              </w:rPr>
            </w:pPr>
            <w:r>
              <w:rPr>
                <w:sz w:val="20"/>
                <w:szCs w:val="20"/>
              </w:rPr>
              <w:t>2.9</w:t>
            </w:r>
          </w:p>
        </w:tc>
        <w:tc>
          <w:tcPr>
            <w:tcW w:w="1130" w:type="dxa"/>
          </w:tcPr>
          <w:p w14:paraId="24286958" w14:textId="77777777" w:rsidR="005C6C96" w:rsidRPr="001D34C2" w:rsidRDefault="005C6C96" w:rsidP="00182031">
            <w:pPr>
              <w:jc w:val="center"/>
              <w:rPr>
                <w:sz w:val="20"/>
                <w:szCs w:val="20"/>
              </w:rPr>
            </w:pPr>
            <w:r>
              <w:rPr>
                <w:sz w:val="20"/>
                <w:szCs w:val="20"/>
              </w:rPr>
              <w:t>0.9</w:t>
            </w:r>
          </w:p>
        </w:tc>
        <w:tc>
          <w:tcPr>
            <w:tcW w:w="1130" w:type="dxa"/>
          </w:tcPr>
          <w:p w14:paraId="3D5E2D03" w14:textId="77777777" w:rsidR="005C6C96" w:rsidRPr="001D34C2" w:rsidRDefault="005C6C96" w:rsidP="00182031">
            <w:pPr>
              <w:jc w:val="center"/>
              <w:rPr>
                <w:sz w:val="20"/>
                <w:szCs w:val="20"/>
              </w:rPr>
            </w:pPr>
            <w:r>
              <w:rPr>
                <w:sz w:val="20"/>
                <w:szCs w:val="20"/>
              </w:rPr>
              <w:t>2.7</w:t>
            </w:r>
          </w:p>
        </w:tc>
        <w:tc>
          <w:tcPr>
            <w:tcW w:w="1068" w:type="dxa"/>
          </w:tcPr>
          <w:p w14:paraId="60F18FF9" w14:textId="77777777" w:rsidR="005C6C96" w:rsidRPr="001D34C2" w:rsidRDefault="005C6C96" w:rsidP="00182031">
            <w:pPr>
              <w:jc w:val="center"/>
              <w:rPr>
                <w:sz w:val="20"/>
                <w:szCs w:val="20"/>
              </w:rPr>
            </w:pPr>
            <w:r>
              <w:rPr>
                <w:sz w:val="20"/>
                <w:szCs w:val="20"/>
              </w:rPr>
              <w:t>4.3</w:t>
            </w:r>
          </w:p>
        </w:tc>
        <w:tc>
          <w:tcPr>
            <w:tcW w:w="979" w:type="dxa"/>
          </w:tcPr>
          <w:p w14:paraId="2E2D3307" w14:textId="77777777" w:rsidR="005C6C96" w:rsidRDefault="005C6C96" w:rsidP="00182031">
            <w:pPr>
              <w:jc w:val="center"/>
              <w:rPr>
                <w:sz w:val="20"/>
                <w:szCs w:val="20"/>
              </w:rPr>
            </w:pPr>
            <w:r>
              <w:rPr>
                <w:sz w:val="20"/>
                <w:szCs w:val="20"/>
              </w:rPr>
              <w:t>3.1</w:t>
            </w:r>
          </w:p>
        </w:tc>
      </w:tr>
      <w:tr w:rsidR="005C6C96" w14:paraId="1391B158" w14:textId="77777777" w:rsidTr="00182031">
        <w:tc>
          <w:tcPr>
            <w:tcW w:w="1765" w:type="dxa"/>
          </w:tcPr>
          <w:p w14:paraId="29599DD7" w14:textId="77777777" w:rsidR="005C6C96" w:rsidRPr="001D34C2" w:rsidRDefault="005C6C96" w:rsidP="00182031">
            <w:pPr>
              <w:rPr>
                <w:sz w:val="20"/>
                <w:szCs w:val="20"/>
              </w:rPr>
            </w:pPr>
            <w:r w:rsidRPr="001D34C2">
              <w:rPr>
                <w:sz w:val="20"/>
                <w:szCs w:val="20"/>
              </w:rPr>
              <w:t>RPI (X) September</w:t>
            </w:r>
          </w:p>
        </w:tc>
        <w:tc>
          <w:tcPr>
            <w:tcW w:w="1130" w:type="dxa"/>
          </w:tcPr>
          <w:p w14:paraId="6E0908E2" w14:textId="77777777" w:rsidR="005C6C96" w:rsidRPr="001D34C2" w:rsidRDefault="005C6C96" w:rsidP="00182031">
            <w:pPr>
              <w:jc w:val="center"/>
              <w:rPr>
                <w:sz w:val="20"/>
                <w:szCs w:val="20"/>
              </w:rPr>
            </w:pPr>
            <w:r>
              <w:rPr>
                <w:sz w:val="20"/>
                <w:szCs w:val="20"/>
              </w:rPr>
              <w:t>5.4</w:t>
            </w:r>
          </w:p>
        </w:tc>
        <w:tc>
          <w:tcPr>
            <w:tcW w:w="1020" w:type="dxa"/>
          </w:tcPr>
          <w:p w14:paraId="6BA6C6C0" w14:textId="77777777" w:rsidR="005C6C96" w:rsidRPr="001D34C2" w:rsidRDefault="005C6C96" w:rsidP="00182031">
            <w:pPr>
              <w:jc w:val="center"/>
              <w:rPr>
                <w:sz w:val="20"/>
                <w:szCs w:val="20"/>
              </w:rPr>
            </w:pPr>
            <w:r>
              <w:rPr>
                <w:sz w:val="20"/>
                <w:szCs w:val="20"/>
              </w:rPr>
              <w:t>8.0</w:t>
            </w:r>
          </w:p>
        </w:tc>
        <w:tc>
          <w:tcPr>
            <w:tcW w:w="1020" w:type="dxa"/>
          </w:tcPr>
          <w:p w14:paraId="7823AF4E" w14:textId="77777777" w:rsidR="005C6C96" w:rsidRPr="001D34C2" w:rsidRDefault="005C6C96" w:rsidP="00182031">
            <w:pPr>
              <w:jc w:val="center"/>
              <w:rPr>
                <w:sz w:val="20"/>
                <w:szCs w:val="20"/>
              </w:rPr>
            </w:pPr>
            <w:r>
              <w:rPr>
                <w:sz w:val="20"/>
                <w:szCs w:val="20"/>
              </w:rPr>
              <w:t>2.7</w:t>
            </w:r>
          </w:p>
        </w:tc>
        <w:tc>
          <w:tcPr>
            <w:tcW w:w="1130" w:type="dxa"/>
          </w:tcPr>
          <w:p w14:paraId="0C093169" w14:textId="77777777" w:rsidR="005C6C96" w:rsidRPr="001D34C2" w:rsidRDefault="005C6C96" w:rsidP="00182031">
            <w:pPr>
              <w:jc w:val="center"/>
              <w:rPr>
                <w:sz w:val="20"/>
                <w:szCs w:val="20"/>
              </w:rPr>
            </w:pPr>
            <w:r>
              <w:rPr>
                <w:sz w:val="20"/>
                <w:szCs w:val="20"/>
              </w:rPr>
              <w:t>1.3</w:t>
            </w:r>
          </w:p>
        </w:tc>
        <w:tc>
          <w:tcPr>
            <w:tcW w:w="1130" w:type="dxa"/>
          </w:tcPr>
          <w:p w14:paraId="57B9362D" w14:textId="77777777" w:rsidR="005C6C96" w:rsidRPr="001D34C2" w:rsidRDefault="005C6C96" w:rsidP="00182031">
            <w:pPr>
              <w:jc w:val="center"/>
              <w:rPr>
                <w:sz w:val="20"/>
                <w:szCs w:val="20"/>
              </w:rPr>
            </w:pPr>
            <w:r>
              <w:rPr>
                <w:sz w:val="20"/>
                <w:szCs w:val="20"/>
              </w:rPr>
              <w:t>2.6</w:t>
            </w:r>
          </w:p>
        </w:tc>
        <w:tc>
          <w:tcPr>
            <w:tcW w:w="1068" w:type="dxa"/>
          </w:tcPr>
          <w:p w14:paraId="77603C8D" w14:textId="77777777" w:rsidR="005C6C96" w:rsidRPr="001D34C2" w:rsidRDefault="005C6C96" w:rsidP="00182031">
            <w:pPr>
              <w:jc w:val="center"/>
              <w:rPr>
                <w:sz w:val="20"/>
                <w:szCs w:val="20"/>
              </w:rPr>
            </w:pPr>
            <w:r>
              <w:rPr>
                <w:sz w:val="20"/>
                <w:szCs w:val="20"/>
              </w:rPr>
              <w:t>3.8</w:t>
            </w:r>
          </w:p>
        </w:tc>
        <w:tc>
          <w:tcPr>
            <w:tcW w:w="979" w:type="dxa"/>
          </w:tcPr>
          <w:p w14:paraId="41FFF61E" w14:textId="77777777" w:rsidR="005C6C96" w:rsidRDefault="005C6C96" w:rsidP="00182031">
            <w:pPr>
              <w:jc w:val="center"/>
              <w:rPr>
                <w:sz w:val="20"/>
                <w:szCs w:val="20"/>
              </w:rPr>
            </w:pPr>
            <w:r>
              <w:rPr>
                <w:sz w:val="20"/>
                <w:szCs w:val="20"/>
              </w:rPr>
              <w:t>3.4</w:t>
            </w:r>
          </w:p>
        </w:tc>
      </w:tr>
      <w:tr w:rsidR="005C6C96" w14:paraId="27D244CF" w14:textId="77777777" w:rsidTr="00182031">
        <w:tc>
          <w:tcPr>
            <w:tcW w:w="1765" w:type="dxa"/>
          </w:tcPr>
          <w:p w14:paraId="574D4BA4" w14:textId="77777777" w:rsidR="005C6C96" w:rsidRPr="001D34C2" w:rsidRDefault="005C6C96" w:rsidP="00182031">
            <w:pPr>
              <w:rPr>
                <w:sz w:val="20"/>
                <w:szCs w:val="20"/>
              </w:rPr>
            </w:pPr>
            <w:r>
              <w:rPr>
                <w:sz w:val="20"/>
                <w:szCs w:val="20"/>
              </w:rPr>
              <w:t>RPI (Y) September</w:t>
            </w:r>
          </w:p>
        </w:tc>
        <w:tc>
          <w:tcPr>
            <w:tcW w:w="1130" w:type="dxa"/>
          </w:tcPr>
          <w:p w14:paraId="4B5BC824" w14:textId="77777777" w:rsidR="005C6C96" w:rsidRDefault="005C6C96" w:rsidP="00182031">
            <w:pPr>
              <w:jc w:val="center"/>
              <w:rPr>
                <w:sz w:val="20"/>
                <w:szCs w:val="20"/>
              </w:rPr>
            </w:pPr>
            <w:r>
              <w:rPr>
                <w:sz w:val="20"/>
                <w:szCs w:val="20"/>
              </w:rPr>
              <w:t>5.3</w:t>
            </w:r>
          </w:p>
        </w:tc>
        <w:tc>
          <w:tcPr>
            <w:tcW w:w="1020" w:type="dxa"/>
          </w:tcPr>
          <w:p w14:paraId="1B19E6B2" w14:textId="77777777" w:rsidR="005C6C96" w:rsidRDefault="005C6C96" w:rsidP="00182031">
            <w:pPr>
              <w:jc w:val="center"/>
              <w:rPr>
                <w:sz w:val="20"/>
                <w:szCs w:val="20"/>
              </w:rPr>
            </w:pPr>
            <w:r>
              <w:rPr>
                <w:sz w:val="20"/>
                <w:szCs w:val="20"/>
              </w:rPr>
              <w:t>8.2</w:t>
            </w:r>
          </w:p>
        </w:tc>
        <w:tc>
          <w:tcPr>
            <w:tcW w:w="1020" w:type="dxa"/>
          </w:tcPr>
          <w:p w14:paraId="4BB3F76E" w14:textId="77777777" w:rsidR="005C6C96" w:rsidRDefault="005C6C96" w:rsidP="00182031">
            <w:pPr>
              <w:jc w:val="center"/>
              <w:rPr>
                <w:sz w:val="20"/>
                <w:szCs w:val="20"/>
              </w:rPr>
            </w:pPr>
            <w:r>
              <w:rPr>
                <w:sz w:val="20"/>
                <w:szCs w:val="20"/>
              </w:rPr>
              <w:t>2.7</w:t>
            </w:r>
          </w:p>
        </w:tc>
        <w:tc>
          <w:tcPr>
            <w:tcW w:w="1130" w:type="dxa"/>
          </w:tcPr>
          <w:p w14:paraId="52281CB6" w14:textId="77777777" w:rsidR="005C6C96" w:rsidRDefault="005C6C96" w:rsidP="00182031">
            <w:pPr>
              <w:jc w:val="center"/>
              <w:rPr>
                <w:sz w:val="20"/>
                <w:szCs w:val="20"/>
              </w:rPr>
            </w:pPr>
            <w:r>
              <w:rPr>
                <w:sz w:val="20"/>
                <w:szCs w:val="20"/>
              </w:rPr>
              <w:t>1.0</w:t>
            </w:r>
          </w:p>
        </w:tc>
        <w:tc>
          <w:tcPr>
            <w:tcW w:w="1130" w:type="dxa"/>
          </w:tcPr>
          <w:p w14:paraId="67E26594" w14:textId="77777777" w:rsidR="005C6C96" w:rsidRDefault="005C6C96" w:rsidP="00182031">
            <w:pPr>
              <w:jc w:val="center"/>
              <w:rPr>
                <w:sz w:val="20"/>
                <w:szCs w:val="20"/>
              </w:rPr>
            </w:pPr>
            <w:r>
              <w:rPr>
                <w:sz w:val="20"/>
                <w:szCs w:val="20"/>
              </w:rPr>
              <w:t>2.5</w:t>
            </w:r>
          </w:p>
        </w:tc>
        <w:tc>
          <w:tcPr>
            <w:tcW w:w="1068" w:type="dxa"/>
          </w:tcPr>
          <w:p w14:paraId="735FDB72" w14:textId="77777777" w:rsidR="005C6C96" w:rsidRDefault="005C6C96" w:rsidP="00182031">
            <w:pPr>
              <w:jc w:val="center"/>
              <w:rPr>
                <w:sz w:val="20"/>
                <w:szCs w:val="20"/>
              </w:rPr>
            </w:pPr>
            <w:r>
              <w:rPr>
                <w:sz w:val="20"/>
                <w:szCs w:val="20"/>
              </w:rPr>
              <w:t>3.8</w:t>
            </w:r>
          </w:p>
        </w:tc>
        <w:tc>
          <w:tcPr>
            <w:tcW w:w="979" w:type="dxa"/>
          </w:tcPr>
          <w:p w14:paraId="3F7287D8" w14:textId="77777777" w:rsidR="005C6C96" w:rsidRDefault="005C6C96" w:rsidP="00182031">
            <w:pPr>
              <w:jc w:val="center"/>
              <w:rPr>
                <w:sz w:val="20"/>
                <w:szCs w:val="20"/>
              </w:rPr>
            </w:pPr>
            <w:r>
              <w:rPr>
                <w:sz w:val="20"/>
                <w:szCs w:val="20"/>
              </w:rPr>
              <w:t>3.3</w:t>
            </w:r>
          </w:p>
        </w:tc>
      </w:tr>
    </w:tbl>
    <w:p w14:paraId="48A67CC9" w14:textId="77777777" w:rsidR="005C6C96" w:rsidRPr="00D00B0C" w:rsidRDefault="005C6C96" w:rsidP="005C6C96">
      <w:pPr>
        <w:jc w:val="right"/>
        <w:rPr>
          <w:sz w:val="16"/>
          <w:szCs w:val="16"/>
        </w:rPr>
      </w:pPr>
      <w:r w:rsidRPr="00D00B0C">
        <w:rPr>
          <w:sz w:val="16"/>
          <w:szCs w:val="16"/>
        </w:rPr>
        <w:t xml:space="preserve">Source - Statistics Jersey web </w:t>
      </w:r>
      <w:proofErr w:type="gramStart"/>
      <w:r w:rsidRPr="00D00B0C">
        <w:rPr>
          <w:sz w:val="16"/>
          <w:szCs w:val="16"/>
        </w:rPr>
        <w:t>page</w:t>
      </w:r>
      <w:proofErr w:type="gramEnd"/>
    </w:p>
    <w:p w14:paraId="360DFEB7" w14:textId="77777777" w:rsidR="005C6C96" w:rsidRDefault="005C6C96" w:rsidP="005C6C96">
      <w:pPr>
        <w:rPr>
          <w:sz w:val="20"/>
          <w:szCs w:val="20"/>
        </w:rPr>
      </w:pPr>
      <w:r w:rsidRPr="001D34C2">
        <w:rPr>
          <w:sz w:val="20"/>
          <w:szCs w:val="20"/>
        </w:rPr>
        <w:t xml:space="preserve">As the table shows, these indices are very closely </w:t>
      </w:r>
      <w:r>
        <w:rPr>
          <w:sz w:val="20"/>
          <w:szCs w:val="20"/>
        </w:rPr>
        <w:t>aligned f</w:t>
      </w:r>
      <w:r w:rsidRPr="001D34C2">
        <w:rPr>
          <w:sz w:val="20"/>
          <w:szCs w:val="20"/>
        </w:rPr>
        <w:t>or the period 201</w:t>
      </w:r>
      <w:r>
        <w:rPr>
          <w:sz w:val="20"/>
          <w:szCs w:val="20"/>
        </w:rPr>
        <w:t>7</w:t>
      </w:r>
      <w:r w:rsidRPr="001D34C2">
        <w:rPr>
          <w:sz w:val="20"/>
          <w:szCs w:val="20"/>
        </w:rPr>
        <w:t xml:space="preserve"> through 2021</w:t>
      </w:r>
      <w:r>
        <w:rPr>
          <w:sz w:val="20"/>
          <w:szCs w:val="20"/>
        </w:rPr>
        <w:t xml:space="preserve">. Sometimes RPI is slightly higher than RPI(Y), sometimes slightly lower. </w:t>
      </w:r>
      <w:proofErr w:type="gramStart"/>
      <w:r>
        <w:rPr>
          <w:sz w:val="20"/>
          <w:szCs w:val="20"/>
        </w:rPr>
        <w:t>Indeed</w:t>
      </w:r>
      <w:proofErr w:type="gramEnd"/>
      <w:r>
        <w:rPr>
          <w:sz w:val="20"/>
          <w:szCs w:val="20"/>
        </w:rPr>
        <w:t xml:space="preserve"> this alignment continues as you go back further. At the time of the pricing review and direction with JRCA, it is apparent that they were considered almost interchangeable. There were discussions (evidenced in the Pricing Review on the JRCA website) about whether RPI or RPI (Y) should form the basis for pricing framework. The planning work for the pricing framework assumed inflation of 3% pa over the </w:t>
      </w:r>
      <w:proofErr w:type="gramStart"/>
      <w:r>
        <w:rPr>
          <w:sz w:val="20"/>
          <w:szCs w:val="20"/>
        </w:rPr>
        <w:t>5 year</w:t>
      </w:r>
      <w:proofErr w:type="gramEnd"/>
      <w:r>
        <w:rPr>
          <w:sz w:val="20"/>
          <w:szCs w:val="20"/>
        </w:rPr>
        <w:t xml:space="preserve"> period of the framework.</w:t>
      </w:r>
    </w:p>
    <w:p w14:paraId="51F18833" w14:textId="77777777" w:rsidR="005C6C96" w:rsidRDefault="005C6C96" w:rsidP="005C6C96">
      <w:pPr>
        <w:rPr>
          <w:sz w:val="20"/>
          <w:szCs w:val="20"/>
        </w:rPr>
      </w:pPr>
      <w:r>
        <w:rPr>
          <w:sz w:val="20"/>
          <w:szCs w:val="20"/>
        </w:rPr>
        <w:t xml:space="preserve">It is somewhat ironic that </w:t>
      </w:r>
      <w:proofErr w:type="spellStart"/>
      <w:r>
        <w:rPr>
          <w:sz w:val="20"/>
          <w:szCs w:val="20"/>
        </w:rPr>
        <w:t>PoJ</w:t>
      </w:r>
      <w:proofErr w:type="spellEnd"/>
      <w:r>
        <w:rPr>
          <w:sz w:val="20"/>
          <w:szCs w:val="20"/>
        </w:rPr>
        <w:t xml:space="preserve"> proposed to the JCRA in 2018 was that RPI(Y) should be used, and only at the last moment switched to supporting RPI. </w:t>
      </w:r>
    </w:p>
    <w:p w14:paraId="3A02DE93" w14:textId="77777777" w:rsidR="005C6C96" w:rsidRDefault="005C6C96" w:rsidP="005C6C96">
      <w:pPr>
        <w:rPr>
          <w:sz w:val="20"/>
          <w:szCs w:val="20"/>
        </w:rPr>
      </w:pPr>
      <w:r>
        <w:rPr>
          <w:sz w:val="20"/>
          <w:szCs w:val="20"/>
        </w:rPr>
        <w:t xml:space="preserve">As all will be aware, inflation rose sharply in 2022 due to the Ukraine war, and then the increases in interest rates in 2023 to tackle this inflation worked through sharply into housing costs, although falling across non-interest rate linked categories. Inflation and interest </w:t>
      </w:r>
      <w:proofErr w:type="gramStart"/>
      <w:r>
        <w:rPr>
          <w:sz w:val="20"/>
          <w:szCs w:val="20"/>
        </w:rPr>
        <w:t>continues</w:t>
      </w:r>
      <w:proofErr w:type="gramEnd"/>
      <w:r>
        <w:rPr>
          <w:sz w:val="20"/>
          <w:szCs w:val="20"/>
        </w:rPr>
        <w:t xml:space="preserve"> to fall in Q4 2023 and are forecast to fall further into 2024. </w:t>
      </w:r>
    </w:p>
    <w:p w14:paraId="1B218346" w14:textId="77777777" w:rsidR="005C6C96" w:rsidRDefault="005C6C96" w:rsidP="005C6C96">
      <w:pPr>
        <w:rPr>
          <w:sz w:val="20"/>
          <w:szCs w:val="20"/>
        </w:rPr>
      </w:pPr>
      <w:r>
        <w:rPr>
          <w:sz w:val="20"/>
          <w:szCs w:val="20"/>
        </w:rPr>
        <w:t xml:space="preserve">UK CPI stood at 6.7% at the end of September 2023 (c.f. Jersey RPI(Y) of 5.3%) and is forecast to fall to 4.5% at the end of 2023 (source – Jersey Fiscal Policy Panel report November 2023). Jersey RPI(Y) should follow similar trends.  </w:t>
      </w:r>
    </w:p>
    <w:p w14:paraId="6FB5CE0C" w14:textId="77777777" w:rsidR="005C6C96" w:rsidRDefault="00223D6E" w:rsidP="005C6C96">
      <w:pPr>
        <w:rPr>
          <w:sz w:val="20"/>
          <w:szCs w:val="20"/>
        </w:rPr>
      </w:pPr>
      <w:r>
        <w:rPr>
          <w:sz w:val="20"/>
          <w:szCs w:val="20"/>
        </w:rPr>
        <w:t>C</w:t>
      </w:r>
      <w:r w:rsidR="005C6C96">
        <w:rPr>
          <w:sz w:val="20"/>
          <w:szCs w:val="20"/>
        </w:rPr>
        <w:t>umulative increases in fees of 25% in the light of the underlying rate of inflation and the direction of travel of the rate of inflation is inappropriate. Fee increases of 11.1% on 1 January 202</w:t>
      </w:r>
      <w:r w:rsidR="00A24B0C">
        <w:rPr>
          <w:sz w:val="20"/>
          <w:szCs w:val="20"/>
        </w:rPr>
        <w:t>4</w:t>
      </w:r>
      <w:r w:rsidR="005C6C96">
        <w:rPr>
          <w:sz w:val="20"/>
          <w:szCs w:val="20"/>
        </w:rPr>
        <w:t xml:space="preserve"> when the actual underlying rate of inflation is likely to be 4-4.5% is simply an abuse of power. It will add to inflationary pressures on the island when the Government, and its agencies and corporate bodies, should be acting to reduce inflationary pressures. </w:t>
      </w:r>
    </w:p>
    <w:p w14:paraId="2CAE965A" w14:textId="77777777" w:rsidR="00CE6D48" w:rsidRDefault="00CE6D48">
      <w:pPr>
        <w:rPr>
          <w:sz w:val="20"/>
          <w:szCs w:val="20"/>
        </w:rPr>
      </w:pPr>
      <w:r>
        <w:rPr>
          <w:sz w:val="20"/>
          <w:szCs w:val="20"/>
        </w:rPr>
        <w:br w:type="page"/>
      </w:r>
    </w:p>
    <w:p w14:paraId="40CAB511" w14:textId="77777777" w:rsidR="005C6C96" w:rsidRDefault="005C6C96" w:rsidP="005C6C96">
      <w:pPr>
        <w:rPr>
          <w:sz w:val="20"/>
          <w:szCs w:val="20"/>
        </w:rPr>
      </w:pPr>
      <w:r>
        <w:rPr>
          <w:sz w:val="20"/>
          <w:szCs w:val="20"/>
        </w:rPr>
        <w:lastRenderedPageBreak/>
        <w:t>Appendix 2</w:t>
      </w:r>
    </w:p>
    <w:p w14:paraId="3B9113C2" w14:textId="77777777" w:rsidR="005C6C96" w:rsidRPr="001E29E6" w:rsidRDefault="005C6C96" w:rsidP="005C6C96">
      <w:pPr>
        <w:rPr>
          <w:b/>
          <w:sz w:val="20"/>
          <w:szCs w:val="20"/>
        </w:rPr>
      </w:pPr>
      <w:r w:rsidRPr="001E29E6">
        <w:rPr>
          <w:b/>
          <w:sz w:val="20"/>
          <w:szCs w:val="20"/>
        </w:rPr>
        <w:t xml:space="preserve">Ports of Jersey financial reports </w:t>
      </w:r>
      <w:r w:rsidRPr="001E29E6">
        <w:rPr>
          <w:b/>
          <w:sz w:val="20"/>
          <w:szCs w:val="20"/>
        </w:rPr>
        <w:tab/>
      </w:r>
    </w:p>
    <w:tbl>
      <w:tblPr>
        <w:tblStyle w:val="TableGrid"/>
        <w:tblW w:w="0" w:type="auto"/>
        <w:tblLook w:val="04A0" w:firstRow="1" w:lastRow="0" w:firstColumn="1" w:lastColumn="0" w:noHBand="0" w:noVBand="1"/>
      </w:tblPr>
      <w:tblGrid>
        <w:gridCol w:w="1951"/>
        <w:gridCol w:w="1276"/>
        <w:gridCol w:w="1134"/>
        <w:gridCol w:w="1134"/>
        <w:gridCol w:w="1276"/>
        <w:gridCol w:w="1275"/>
        <w:gridCol w:w="1196"/>
      </w:tblGrid>
      <w:tr w:rsidR="005C6C96" w14:paraId="0A1988DA" w14:textId="77777777" w:rsidTr="00182031">
        <w:tc>
          <w:tcPr>
            <w:tcW w:w="1951" w:type="dxa"/>
          </w:tcPr>
          <w:p w14:paraId="47AFD75D" w14:textId="77777777" w:rsidR="005C6C96" w:rsidRDefault="005C6C96" w:rsidP="00182031">
            <w:pPr>
              <w:rPr>
                <w:sz w:val="20"/>
                <w:szCs w:val="20"/>
              </w:rPr>
            </w:pPr>
          </w:p>
        </w:tc>
        <w:tc>
          <w:tcPr>
            <w:tcW w:w="1276" w:type="dxa"/>
          </w:tcPr>
          <w:p w14:paraId="3FE5D51D" w14:textId="77777777" w:rsidR="005C6C96" w:rsidRPr="00004CFB" w:rsidRDefault="005C6C96" w:rsidP="00182031">
            <w:pPr>
              <w:jc w:val="center"/>
              <w:rPr>
                <w:b/>
                <w:sz w:val="20"/>
                <w:szCs w:val="20"/>
              </w:rPr>
            </w:pPr>
            <w:r w:rsidRPr="00004CFB">
              <w:rPr>
                <w:b/>
                <w:sz w:val="20"/>
                <w:szCs w:val="20"/>
              </w:rPr>
              <w:t>2023</w:t>
            </w:r>
          </w:p>
          <w:p w14:paraId="6F2D9A91" w14:textId="77777777" w:rsidR="005C6C96" w:rsidRPr="00004CFB" w:rsidRDefault="005C6C96" w:rsidP="00182031">
            <w:pPr>
              <w:jc w:val="center"/>
              <w:rPr>
                <w:b/>
                <w:sz w:val="20"/>
                <w:szCs w:val="20"/>
              </w:rPr>
            </w:pPr>
            <w:r w:rsidRPr="00004CFB">
              <w:rPr>
                <w:b/>
                <w:sz w:val="20"/>
                <w:szCs w:val="20"/>
              </w:rPr>
              <w:t>£m</w:t>
            </w:r>
          </w:p>
        </w:tc>
        <w:tc>
          <w:tcPr>
            <w:tcW w:w="1134" w:type="dxa"/>
          </w:tcPr>
          <w:p w14:paraId="438F8F22" w14:textId="77777777" w:rsidR="005C6C96" w:rsidRPr="00004CFB" w:rsidRDefault="005C6C96" w:rsidP="00182031">
            <w:pPr>
              <w:jc w:val="center"/>
              <w:rPr>
                <w:b/>
                <w:sz w:val="20"/>
                <w:szCs w:val="20"/>
              </w:rPr>
            </w:pPr>
            <w:r w:rsidRPr="00004CFB">
              <w:rPr>
                <w:b/>
                <w:sz w:val="20"/>
                <w:szCs w:val="20"/>
              </w:rPr>
              <w:t>2022</w:t>
            </w:r>
          </w:p>
          <w:p w14:paraId="7572D8E6" w14:textId="77777777" w:rsidR="005C6C96" w:rsidRPr="00004CFB" w:rsidRDefault="005C6C96" w:rsidP="00182031">
            <w:pPr>
              <w:jc w:val="center"/>
              <w:rPr>
                <w:b/>
                <w:sz w:val="20"/>
                <w:szCs w:val="20"/>
              </w:rPr>
            </w:pPr>
            <w:r w:rsidRPr="00004CFB">
              <w:rPr>
                <w:b/>
                <w:sz w:val="20"/>
                <w:szCs w:val="20"/>
              </w:rPr>
              <w:t>£m</w:t>
            </w:r>
          </w:p>
        </w:tc>
        <w:tc>
          <w:tcPr>
            <w:tcW w:w="1134" w:type="dxa"/>
          </w:tcPr>
          <w:p w14:paraId="51F7EFAE" w14:textId="77777777" w:rsidR="005C6C96" w:rsidRPr="00004CFB" w:rsidRDefault="005C6C96" w:rsidP="00182031">
            <w:pPr>
              <w:jc w:val="center"/>
              <w:rPr>
                <w:b/>
                <w:sz w:val="20"/>
                <w:szCs w:val="20"/>
              </w:rPr>
            </w:pPr>
            <w:r w:rsidRPr="00004CFB">
              <w:rPr>
                <w:b/>
                <w:sz w:val="20"/>
                <w:szCs w:val="20"/>
              </w:rPr>
              <w:t>2021</w:t>
            </w:r>
          </w:p>
          <w:p w14:paraId="2FB2D76E" w14:textId="77777777" w:rsidR="005C6C96" w:rsidRPr="00004CFB" w:rsidRDefault="005C6C96" w:rsidP="00182031">
            <w:pPr>
              <w:jc w:val="center"/>
              <w:rPr>
                <w:b/>
                <w:sz w:val="20"/>
                <w:szCs w:val="20"/>
              </w:rPr>
            </w:pPr>
            <w:r w:rsidRPr="00004CFB">
              <w:rPr>
                <w:b/>
                <w:sz w:val="20"/>
                <w:szCs w:val="20"/>
              </w:rPr>
              <w:t>£m</w:t>
            </w:r>
          </w:p>
        </w:tc>
        <w:tc>
          <w:tcPr>
            <w:tcW w:w="1276" w:type="dxa"/>
          </w:tcPr>
          <w:p w14:paraId="7AFF5C0B" w14:textId="77777777" w:rsidR="005C6C96" w:rsidRPr="00004CFB" w:rsidRDefault="005C6C96" w:rsidP="00182031">
            <w:pPr>
              <w:jc w:val="center"/>
              <w:rPr>
                <w:b/>
                <w:sz w:val="20"/>
                <w:szCs w:val="20"/>
              </w:rPr>
            </w:pPr>
            <w:r w:rsidRPr="00004CFB">
              <w:rPr>
                <w:b/>
                <w:sz w:val="20"/>
                <w:szCs w:val="20"/>
              </w:rPr>
              <w:t>2020</w:t>
            </w:r>
          </w:p>
          <w:p w14:paraId="317AFDF8" w14:textId="77777777" w:rsidR="005C6C96" w:rsidRPr="00004CFB" w:rsidRDefault="005C6C96" w:rsidP="00182031">
            <w:pPr>
              <w:jc w:val="center"/>
              <w:rPr>
                <w:b/>
                <w:sz w:val="20"/>
                <w:szCs w:val="20"/>
              </w:rPr>
            </w:pPr>
            <w:r w:rsidRPr="00004CFB">
              <w:rPr>
                <w:b/>
                <w:sz w:val="20"/>
                <w:szCs w:val="20"/>
              </w:rPr>
              <w:t>£m</w:t>
            </w:r>
          </w:p>
        </w:tc>
        <w:tc>
          <w:tcPr>
            <w:tcW w:w="1275" w:type="dxa"/>
          </w:tcPr>
          <w:p w14:paraId="566DE331" w14:textId="77777777" w:rsidR="005C6C96" w:rsidRPr="00004CFB" w:rsidRDefault="005C6C96" w:rsidP="00182031">
            <w:pPr>
              <w:jc w:val="center"/>
              <w:rPr>
                <w:b/>
                <w:sz w:val="20"/>
                <w:szCs w:val="20"/>
              </w:rPr>
            </w:pPr>
            <w:r w:rsidRPr="00004CFB">
              <w:rPr>
                <w:b/>
                <w:sz w:val="20"/>
                <w:szCs w:val="20"/>
              </w:rPr>
              <w:t>2019</w:t>
            </w:r>
          </w:p>
          <w:p w14:paraId="50B1AF4F" w14:textId="77777777" w:rsidR="005C6C96" w:rsidRPr="00004CFB" w:rsidRDefault="005C6C96" w:rsidP="00182031">
            <w:pPr>
              <w:jc w:val="center"/>
              <w:rPr>
                <w:b/>
                <w:sz w:val="20"/>
                <w:szCs w:val="20"/>
              </w:rPr>
            </w:pPr>
            <w:r w:rsidRPr="00004CFB">
              <w:rPr>
                <w:b/>
                <w:sz w:val="20"/>
                <w:szCs w:val="20"/>
              </w:rPr>
              <w:t>£m</w:t>
            </w:r>
          </w:p>
        </w:tc>
        <w:tc>
          <w:tcPr>
            <w:tcW w:w="1196" w:type="dxa"/>
          </w:tcPr>
          <w:p w14:paraId="4B9F41BD" w14:textId="77777777" w:rsidR="005C6C96" w:rsidRPr="00004CFB" w:rsidRDefault="005C6C96" w:rsidP="00182031">
            <w:pPr>
              <w:jc w:val="center"/>
              <w:rPr>
                <w:b/>
                <w:sz w:val="20"/>
                <w:szCs w:val="20"/>
              </w:rPr>
            </w:pPr>
            <w:r w:rsidRPr="00004CFB">
              <w:rPr>
                <w:b/>
                <w:sz w:val="20"/>
                <w:szCs w:val="20"/>
              </w:rPr>
              <w:t>2018</w:t>
            </w:r>
          </w:p>
          <w:p w14:paraId="37A9D9E9" w14:textId="77777777" w:rsidR="005C6C96" w:rsidRPr="00004CFB" w:rsidRDefault="005C6C96" w:rsidP="00182031">
            <w:pPr>
              <w:jc w:val="center"/>
              <w:rPr>
                <w:b/>
                <w:sz w:val="20"/>
                <w:szCs w:val="20"/>
              </w:rPr>
            </w:pPr>
            <w:r w:rsidRPr="00004CFB">
              <w:rPr>
                <w:b/>
                <w:sz w:val="20"/>
                <w:szCs w:val="20"/>
              </w:rPr>
              <w:t>£m</w:t>
            </w:r>
          </w:p>
        </w:tc>
      </w:tr>
      <w:tr w:rsidR="005C6C96" w14:paraId="20060D20" w14:textId="77777777" w:rsidTr="00182031">
        <w:tc>
          <w:tcPr>
            <w:tcW w:w="1951" w:type="dxa"/>
          </w:tcPr>
          <w:p w14:paraId="10A3D86F" w14:textId="77777777" w:rsidR="005C6C96" w:rsidRDefault="005C6C96" w:rsidP="00182031">
            <w:pPr>
              <w:rPr>
                <w:sz w:val="20"/>
                <w:szCs w:val="20"/>
              </w:rPr>
            </w:pPr>
            <w:r>
              <w:rPr>
                <w:sz w:val="20"/>
                <w:szCs w:val="20"/>
              </w:rPr>
              <w:t xml:space="preserve">Marina revenues     </w:t>
            </w:r>
          </w:p>
        </w:tc>
        <w:tc>
          <w:tcPr>
            <w:tcW w:w="1276" w:type="dxa"/>
          </w:tcPr>
          <w:p w14:paraId="78B2C781" w14:textId="77777777" w:rsidR="005C6C96" w:rsidRDefault="005C6C96" w:rsidP="00182031">
            <w:pPr>
              <w:jc w:val="center"/>
              <w:rPr>
                <w:sz w:val="20"/>
                <w:szCs w:val="20"/>
              </w:rPr>
            </w:pPr>
            <w:r>
              <w:rPr>
                <w:sz w:val="20"/>
                <w:szCs w:val="20"/>
              </w:rPr>
              <w:t>n/a</w:t>
            </w:r>
          </w:p>
        </w:tc>
        <w:tc>
          <w:tcPr>
            <w:tcW w:w="1134" w:type="dxa"/>
          </w:tcPr>
          <w:p w14:paraId="7D9C8E01" w14:textId="77777777" w:rsidR="005C6C96" w:rsidRDefault="005C6C96" w:rsidP="00182031">
            <w:pPr>
              <w:jc w:val="center"/>
              <w:rPr>
                <w:sz w:val="20"/>
                <w:szCs w:val="20"/>
              </w:rPr>
            </w:pPr>
            <w:r>
              <w:rPr>
                <w:sz w:val="20"/>
                <w:szCs w:val="20"/>
              </w:rPr>
              <w:t>4.3</w:t>
            </w:r>
          </w:p>
        </w:tc>
        <w:tc>
          <w:tcPr>
            <w:tcW w:w="1134" w:type="dxa"/>
          </w:tcPr>
          <w:p w14:paraId="7A00BD29" w14:textId="77777777" w:rsidR="005C6C96" w:rsidRDefault="005C6C96" w:rsidP="00182031">
            <w:pPr>
              <w:jc w:val="center"/>
              <w:rPr>
                <w:sz w:val="20"/>
                <w:szCs w:val="20"/>
              </w:rPr>
            </w:pPr>
            <w:r>
              <w:rPr>
                <w:sz w:val="20"/>
                <w:szCs w:val="20"/>
              </w:rPr>
              <w:t>3.9</w:t>
            </w:r>
          </w:p>
        </w:tc>
        <w:tc>
          <w:tcPr>
            <w:tcW w:w="1276" w:type="dxa"/>
          </w:tcPr>
          <w:p w14:paraId="0965D764" w14:textId="77777777" w:rsidR="005C6C96" w:rsidRDefault="005C6C96" w:rsidP="00182031">
            <w:pPr>
              <w:jc w:val="center"/>
              <w:rPr>
                <w:sz w:val="20"/>
                <w:szCs w:val="20"/>
              </w:rPr>
            </w:pPr>
            <w:r>
              <w:rPr>
                <w:sz w:val="20"/>
                <w:szCs w:val="20"/>
              </w:rPr>
              <w:t>3.8</w:t>
            </w:r>
          </w:p>
        </w:tc>
        <w:tc>
          <w:tcPr>
            <w:tcW w:w="1275" w:type="dxa"/>
          </w:tcPr>
          <w:p w14:paraId="2304D6CB" w14:textId="77777777" w:rsidR="005C6C96" w:rsidRDefault="005C6C96" w:rsidP="00182031">
            <w:pPr>
              <w:jc w:val="center"/>
              <w:rPr>
                <w:sz w:val="20"/>
                <w:szCs w:val="20"/>
              </w:rPr>
            </w:pPr>
            <w:r>
              <w:rPr>
                <w:sz w:val="20"/>
                <w:szCs w:val="20"/>
              </w:rPr>
              <w:t>4.0</w:t>
            </w:r>
          </w:p>
        </w:tc>
        <w:tc>
          <w:tcPr>
            <w:tcW w:w="1196" w:type="dxa"/>
          </w:tcPr>
          <w:p w14:paraId="0BB0FDD2" w14:textId="77777777" w:rsidR="005C6C96" w:rsidRDefault="005C6C96" w:rsidP="00182031">
            <w:pPr>
              <w:jc w:val="center"/>
              <w:rPr>
                <w:sz w:val="20"/>
                <w:szCs w:val="20"/>
              </w:rPr>
            </w:pPr>
            <w:r>
              <w:rPr>
                <w:sz w:val="20"/>
                <w:szCs w:val="20"/>
              </w:rPr>
              <w:t>3.5</w:t>
            </w:r>
          </w:p>
        </w:tc>
      </w:tr>
      <w:tr w:rsidR="005C6C96" w14:paraId="7283BB50" w14:textId="77777777" w:rsidTr="00182031">
        <w:tc>
          <w:tcPr>
            <w:tcW w:w="1951" w:type="dxa"/>
          </w:tcPr>
          <w:p w14:paraId="23324211" w14:textId="77777777" w:rsidR="005C6C96" w:rsidRDefault="005C6C96" w:rsidP="00182031">
            <w:pPr>
              <w:rPr>
                <w:sz w:val="20"/>
                <w:szCs w:val="20"/>
              </w:rPr>
            </w:pPr>
            <w:r>
              <w:rPr>
                <w:sz w:val="20"/>
                <w:szCs w:val="20"/>
              </w:rPr>
              <w:t xml:space="preserve">Total </w:t>
            </w:r>
            <w:proofErr w:type="spellStart"/>
            <w:r>
              <w:rPr>
                <w:sz w:val="20"/>
                <w:szCs w:val="20"/>
              </w:rPr>
              <w:t>PoJ</w:t>
            </w:r>
            <w:proofErr w:type="spellEnd"/>
            <w:r>
              <w:rPr>
                <w:sz w:val="20"/>
                <w:szCs w:val="20"/>
              </w:rPr>
              <w:t xml:space="preserve"> revenues</w:t>
            </w:r>
          </w:p>
        </w:tc>
        <w:tc>
          <w:tcPr>
            <w:tcW w:w="1276" w:type="dxa"/>
          </w:tcPr>
          <w:p w14:paraId="5A1D5DEA" w14:textId="77777777" w:rsidR="005C6C96" w:rsidRDefault="005C6C96" w:rsidP="00182031">
            <w:pPr>
              <w:jc w:val="center"/>
              <w:rPr>
                <w:sz w:val="20"/>
                <w:szCs w:val="20"/>
              </w:rPr>
            </w:pPr>
            <w:r>
              <w:rPr>
                <w:sz w:val="20"/>
                <w:szCs w:val="20"/>
              </w:rPr>
              <w:t>n/a</w:t>
            </w:r>
          </w:p>
        </w:tc>
        <w:tc>
          <w:tcPr>
            <w:tcW w:w="1134" w:type="dxa"/>
          </w:tcPr>
          <w:p w14:paraId="33A8CEBF" w14:textId="77777777" w:rsidR="005C6C96" w:rsidRDefault="005C6C96" w:rsidP="00182031">
            <w:pPr>
              <w:jc w:val="center"/>
              <w:rPr>
                <w:sz w:val="20"/>
                <w:szCs w:val="20"/>
              </w:rPr>
            </w:pPr>
            <w:r>
              <w:rPr>
                <w:sz w:val="20"/>
                <w:szCs w:val="20"/>
              </w:rPr>
              <w:t>45.5</w:t>
            </w:r>
          </w:p>
        </w:tc>
        <w:tc>
          <w:tcPr>
            <w:tcW w:w="1134" w:type="dxa"/>
          </w:tcPr>
          <w:p w14:paraId="6E104F13" w14:textId="77777777" w:rsidR="005C6C96" w:rsidRDefault="005C6C96" w:rsidP="00182031">
            <w:pPr>
              <w:jc w:val="center"/>
              <w:rPr>
                <w:sz w:val="20"/>
                <w:szCs w:val="20"/>
              </w:rPr>
            </w:pPr>
            <w:r>
              <w:rPr>
                <w:sz w:val="20"/>
                <w:szCs w:val="20"/>
              </w:rPr>
              <w:t>36.2</w:t>
            </w:r>
          </w:p>
        </w:tc>
        <w:tc>
          <w:tcPr>
            <w:tcW w:w="1276" w:type="dxa"/>
          </w:tcPr>
          <w:p w14:paraId="02B67601" w14:textId="77777777" w:rsidR="005C6C96" w:rsidRDefault="005C6C96" w:rsidP="00182031">
            <w:pPr>
              <w:jc w:val="center"/>
              <w:rPr>
                <w:sz w:val="20"/>
                <w:szCs w:val="20"/>
              </w:rPr>
            </w:pPr>
            <w:r>
              <w:rPr>
                <w:sz w:val="20"/>
                <w:szCs w:val="20"/>
              </w:rPr>
              <w:t>36.2</w:t>
            </w:r>
          </w:p>
        </w:tc>
        <w:tc>
          <w:tcPr>
            <w:tcW w:w="1275" w:type="dxa"/>
          </w:tcPr>
          <w:p w14:paraId="2CD9BFA2" w14:textId="77777777" w:rsidR="005C6C96" w:rsidRDefault="005C6C96" w:rsidP="00182031">
            <w:pPr>
              <w:jc w:val="center"/>
              <w:rPr>
                <w:sz w:val="20"/>
                <w:szCs w:val="20"/>
              </w:rPr>
            </w:pPr>
            <w:r>
              <w:rPr>
                <w:sz w:val="20"/>
                <w:szCs w:val="20"/>
              </w:rPr>
              <w:t>48.7</w:t>
            </w:r>
          </w:p>
        </w:tc>
        <w:tc>
          <w:tcPr>
            <w:tcW w:w="1196" w:type="dxa"/>
          </w:tcPr>
          <w:p w14:paraId="38997755" w14:textId="77777777" w:rsidR="005C6C96" w:rsidRDefault="005C6C96" w:rsidP="00182031">
            <w:pPr>
              <w:jc w:val="center"/>
              <w:rPr>
                <w:sz w:val="20"/>
                <w:szCs w:val="20"/>
              </w:rPr>
            </w:pPr>
            <w:r>
              <w:rPr>
                <w:sz w:val="20"/>
                <w:szCs w:val="20"/>
              </w:rPr>
              <w:t>47.6</w:t>
            </w:r>
          </w:p>
        </w:tc>
      </w:tr>
      <w:tr w:rsidR="005C6C96" w14:paraId="637143BF" w14:textId="77777777" w:rsidTr="00182031">
        <w:tc>
          <w:tcPr>
            <w:tcW w:w="1951" w:type="dxa"/>
          </w:tcPr>
          <w:p w14:paraId="42B5D82F" w14:textId="77777777" w:rsidR="005C6C96" w:rsidRDefault="005C6C96" w:rsidP="00182031">
            <w:pPr>
              <w:rPr>
                <w:sz w:val="20"/>
                <w:szCs w:val="20"/>
              </w:rPr>
            </w:pPr>
            <w:r>
              <w:rPr>
                <w:sz w:val="20"/>
                <w:szCs w:val="20"/>
              </w:rPr>
              <w:t>Net Profit/(loss)</w:t>
            </w:r>
          </w:p>
        </w:tc>
        <w:tc>
          <w:tcPr>
            <w:tcW w:w="1276" w:type="dxa"/>
          </w:tcPr>
          <w:p w14:paraId="5533611C" w14:textId="77777777" w:rsidR="005C6C96" w:rsidRDefault="005C6C96" w:rsidP="00182031">
            <w:pPr>
              <w:jc w:val="center"/>
              <w:rPr>
                <w:sz w:val="20"/>
                <w:szCs w:val="20"/>
              </w:rPr>
            </w:pPr>
            <w:r>
              <w:rPr>
                <w:sz w:val="20"/>
                <w:szCs w:val="20"/>
              </w:rPr>
              <w:t>n/a</w:t>
            </w:r>
          </w:p>
        </w:tc>
        <w:tc>
          <w:tcPr>
            <w:tcW w:w="1134" w:type="dxa"/>
          </w:tcPr>
          <w:p w14:paraId="2F214770" w14:textId="77777777" w:rsidR="005C6C96" w:rsidRDefault="005C6C96" w:rsidP="00182031">
            <w:pPr>
              <w:jc w:val="center"/>
              <w:rPr>
                <w:sz w:val="20"/>
                <w:szCs w:val="20"/>
              </w:rPr>
            </w:pPr>
            <w:r>
              <w:rPr>
                <w:sz w:val="20"/>
                <w:szCs w:val="20"/>
              </w:rPr>
              <w:t>3.4</w:t>
            </w:r>
          </w:p>
        </w:tc>
        <w:tc>
          <w:tcPr>
            <w:tcW w:w="1134" w:type="dxa"/>
          </w:tcPr>
          <w:p w14:paraId="2ABE6C7B" w14:textId="77777777" w:rsidR="005C6C96" w:rsidRDefault="005C6C96" w:rsidP="00182031">
            <w:pPr>
              <w:jc w:val="center"/>
              <w:rPr>
                <w:sz w:val="20"/>
                <w:szCs w:val="20"/>
              </w:rPr>
            </w:pPr>
            <w:r>
              <w:rPr>
                <w:sz w:val="20"/>
                <w:szCs w:val="20"/>
              </w:rPr>
              <w:t>(5.0)</w:t>
            </w:r>
          </w:p>
        </w:tc>
        <w:tc>
          <w:tcPr>
            <w:tcW w:w="1276" w:type="dxa"/>
          </w:tcPr>
          <w:p w14:paraId="66546786" w14:textId="77777777" w:rsidR="005C6C96" w:rsidRDefault="005C6C96" w:rsidP="00182031">
            <w:pPr>
              <w:jc w:val="center"/>
              <w:rPr>
                <w:sz w:val="20"/>
                <w:szCs w:val="20"/>
              </w:rPr>
            </w:pPr>
            <w:r>
              <w:rPr>
                <w:sz w:val="20"/>
                <w:szCs w:val="20"/>
              </w:rPr>
              <w:t>(5.9)</w:t>
            </w:r>
          </w:p>
        </w:tc>
        <w:tc>
          <w:tcPr>
            <w:tcW w:w="1275" w:type="dxa"/>
          </w:tcPr>
          <w:p w14:paraId="4F146C66" w14:textId="77777777" w:rsidR="005C6C96" w:rsidRDefault="005C6C96" w:rsidP="00182031">
            <w:pPr>
              <w:jc w:val="center"/>
              <w:rPr>
                <w:sz w:val="20"/>
                <w:szCs w:val="20"/>
              </w:rPr>
            </w:pPr>
            <w:r>
              <w:rPr>
                <w:sz w:val="20"/>
                <w:szCs w:val="20"/>
              </w:rPr>
              <w:t>5.3</w:t>
            </w:r>
          </w:p>
        </w:tc>
        <w:tc>
          <w:tcPr>
            <w:tcW w:w="1196" w:type="dxa"/>
          </w:tcPr>
          <w:p w14:paraId="5D8F7466" w14:textId="77777777" w:rsidR="005C6C96" w:rsidRDefault="005C6C96" w:rsidP="00182031">
            <w:pPr>
              <w:jc w:val="center"/>
              <w:rPr>
                <w:sz w:val="20"/>
                <w:szCs w:val="20"/>
              </w:rPr>
            </w:pPr>
            <w:r>
              <w:rPr>
                <w:sz w:val="20"/>
                <w:szCs w:val="20"/>
              </w:rPr>
              <w:t>5.6</w:t>
            </w:r>
          </w:p>
        </w:tc>
      </w:tr>
    </w:tbl>
    <w:p w14:paraId="0B40D64C" w14:textId="77777777" w:rsidR="005C6C96" w:rsidRPr="00471247" w:rsidRDefault="005C6C96" w:rsidP="005C6C96">
      <w:pPr>
        <w:jc w:val="right"/>
        <w:rPr>
          <w:sz w:val="16"/>
          <w:szCs w:val="16"/>
        </w:rPr>
      </w:pPr>
      <w:r w:rsidRPr="00471247">
        <w:rPr>
          <w:sz w:val="16"/>
          <w:szCs w:val="16"/>
        </w:rPr>
        <w:t xml:space="preserve">Source </w:t>
      </w:r>
      <w:proofErr w:type="spellStart"/>
      <w:r w:rsidRPr="00471247">
        <w:rPr>
          <w:sz w:val="16"/>
          <w:szCs w:val="16"/>
        </w:rPr>
        <w:t>PoJ</w:t>
      </w:r>
      <w:proofErr w:type="spellEnd"/>
      <w:r w:rsidRPr="00471247">
        <w:rPr>
          <w:sz w:val="16"/>
          <w:szCs w:val="16"/>
        </w:rPr>
        <w:t xml:space="preserve"> annual </w:t>
      </w:r>
      <w:proofErr w:type="gramStart"/>
      <w:r w:rsidRPr="00471247">
        <w:rPr>
          <w:sz w:val="16"/>
          <w:szCs w:val="16"/>
        </w:rPr>
        <w:t>report</w:t>
      </w:r>
      <w:proofErr w:type="gramEnd"/>
      <w:r w:rsidRPr="00471247">
        <w:rPr>
          <w:sz w:val="16"/>
          <w:szCs w:val="16"/>
        </w:rPr>
        <w:t xml:space="preserve">  </w:t>
      </w:r>
    </w:p>
    <w:p w14:paraId="5169E844" w14:textId="77777777" w:rsidR="005C6C96" w:rsidRDefault="005C6C96" w:rsidP="005C6C96">
      <w:pPr>
        <w:rPr>
          <w:sz w:val="20"/>
          <w:szCs w:val="20"/>
        </w:rPr>
      </w:pPr>
      <w:r>
        <w:rPr>
          <w:sz w:val="20"/>
          <w:szCs w:val="20"/>
        </w:rPr>
        <w:t xml:space="preserve">Whilst 2023 figures are not available to the public, they will be known to management given we are 11 months into the year. We </w:t>
      </w:r>
      <w:r w:rsidR="00CE6D48">
        <w:rPr>
          <w:sz w:val="20"/>
          <w:szCs w:val="20"/>
        </w:rPr>
        <w:t>anticipate</w:t>
      </w:r>
      <w:r>
        <w:rPr>
          <w:sz w:val="20"/>
          <w:szCs w:val="20"/>
        </w:rPr>
        <w:t xml:space="preserve"> that marina revenues will be around £5.0m based on 2022 numbers, fee uplift and increased numbers of visitors.</w:t>
      </w:r>
    </w:p>
    <w:p w14:paraId="67005D8E" w14:textId="77777777" w:rsidR="005C6C96" w:rsidRDefault="005C6C96" w:rsidP="005C6C96">
      <w:pPr>
        <w:rPr>
          <w:sz w:val="20"/>
          <w:szCs w:val="20"/>
        </w:rPr>
      </w:pPr>
      <w:r>
        <w:rPr>
          <w:sz w:val="20"/>
          <w:szCs w:val="20"/>
        </w:rPr>
        <w:t xml:space="preserve">We are not in a position to project total </w:t>
      </w:r>
      <w:proofErr w:type="spellStart"/>
      <w:r>
        <w:rPr>
          <w:sz w:val="20"/>
          <w:szCs w:val="20"/>
        </w:rPr>
        <w:t>PoJ</w:t>
      </w:r>
      <w:proofErr w:type="spellEnd"/>
      <w:r>
        <w:rPr>
          <w:sz w:val="20"/>
          <w:szCs w:val="20"/>
        </w:rPr>
        <w:t xml:space="preserve"> revenues or net </w:t>
      </w:r>
      <w:proofErr w:type="gramStart"/>
      <w:r>
        <w:rPr>
          <w:sz w:val="20"/>
          <w:szCs w:val="20"/>
        </w:rPr>
        <w:t>profit, but</w:t>
      </w:r>
      <w:proofErr w:type="gramEnd"/>
      <w:r>
        <w:rPr>
          <w:sz w:val="20"/>
          <w:szCs w:val="20"/>
        </w:rPr>
        <w:t xml:space="preserve"> would expect them to exceed 2018 and 2019 figures. </w:t>
      </w:r>
    </w:p>
    <w:p w14:paraId="1411FD29" w14:textId="77777777" w:rsidR="005C6C96" w:rsidRDefault="005C6C96" w:rsidP="005C6C96">
      <w:pPr>
        <w:rPr>
          <w:sz w:val="20"/>
          <w:szCs w:val="20"/>
        </w:rPr>
      </w:pPr>
      <w:r>
        <w:rPr>
          <w:sz w:val="20"/>
          <w:szCs w:val="20"/>
        </w:rPr>
        <w:t xml:space="preserve">It is clear that marinas </w:t>
      </w:r>
      <w:proofErr w:type="gramStart"/>
      <w:r>
        <w:rPr>
          <w:sz w:val="20"/>
          <w:szCs w:val="20"/>
        </w:rPr>
        <w:t>contributes</w:t>
      </w:r>
      <w:proofErr w:type="gramEnd"/>
      <w:r>
        <w:rPr>
          <w:sz w:val="20"/>
          <w:szCs w:val="20"/>
        </w:rPr>
        <w:t xml:space="preserve"> less than 10% of </w:t>
      </w:r>
      <w:proofErr w:type="spellStart"/>
      <w:r>
        <w:rPr>
          <w:sz w:val="20"/>
          <w:szCs w:val="20"/>
        </w:rPr>
        <w:t>PoJ</w:t>
      </w:r>
      <w:proofErr w:type="spellEnd"/>
      <w:r>
        <w:rPr>
          <w:sz w:val="20"/>
          <w:szCs w:val="20"/>
        </w:rPr>
        <w:t xml:space="preserve"> revenues, and the impact of the difference between the proposed 11.1% increase and a more reasonable increase of say 5%, would reflect about £250,000. This is pretty immaterial in the overall impact on </w:t>
      </w:r>
      <w:proofErr w:type="spellStart"/>
      <w:r>
        <w:rPr>
          <w:sz w:val="20"/>
          <w:szCs w:val="20"/>
        </w:rPr>
        <w:t>PoJ</w:t>
      </w:r>
      <w:proofErr w:type="spellEnd"/>
      <w:r>
        <w:rPr>
          <w:sz w:val="20"/>
          <w:szCs w:val="20"/>
        </w:rPr>
        <w:t xml:space="preserve"> overall revenue </w:t>
      </w:r>
      <w:proofErr w:type="gramStart"/>
      <w:r>
        <w:rPr>
          <w:sz w:val="20"/>
          <w:szCs w:val="20"/>
        </w:rPr>
        <w:t>terms,</w:t>
      </w:r>
      <w:proofErr w:type="gramEnd"/>
      <w:r>
        <w:rPr>
          <w:sz w:val="20"/>
          <w:szCs w:val="20"/>
        </w:rPr>
        <w:t xml:space="preserve"> indeed it is less than the salary of the CEO. </w:t>
      </w:r>
    </w:p>
    <w:p w14:paraId="1129C8F1" w14:textId="77777777" w:rsidR="005C6C96" w:rsidRDefault="005C6C96" w:rsidP="005C6C96">
      <w:pPr>
        <w:rPr>
          <w:sz w:val="20"/>
          <w:szCs w:val="20"/>
        </w:rPr>
      </w:pPr>
      <w:r>
        <w:rPr>
          <w:sz w:val="20"/>
          <w:szCs w:val="20"/>
        </w:rPr>
        <w:t xml:space="preserve">The headline we draw is that is simply not true to say it is necessary to increase berthing and mooring fees to recover to pre-pandemic levels. The provision of berthing and mooring to the local boat owning population has continued to grow its revenue, it has already recovered to be ahead of pre-pandemic </w:t>
      </w:r>
      <w:proofErr w:type="gramStart"/>
      <w:r>
        <w:rPr>
          <w:sz w:val="20"/>
          <w:szCs w:val="20"/>
        </w:rPr>
        <w:t>levels, and</w:t>
      </w:r>
      <w:proofErr w:type="gramEnd"/>
      <w:r>
        <w:rPr>
          <w:sz w:val="20"/>
          <w:szCs w:val="20"/>
        </w:rPr>
        <w:t xml:space="preserve"> is likely to be well ahead of that for 2023. It is completely inappropriate to try to use this customer group to cross- subsidise the commercial business of the airport and harbour. </w:t>
      </w:r>
    </w:p>
    <w:p w14:paraId="0B0E7E20" w14:textId="77777777" w:rsidR="005C6C96" w:rsidRPr="005C6C96" w:rsidRDefault="005C6C96" w:rsidP="005C6C96">
      <w:pPr>
        <w:rPr>
          <w:sz w:val="20"/>
          <w:szCs w:val="20"/>
        </w:rPr>
      </w:pPr>
      <w:r>
        <w:rPr>
          <w:sz w:val="20"/>
          <w:szCs w:val="20"/>
        </w:rPr>
        <w:t>Assuming total marinas revenue is around £5m</w:t>
      </w:r>
      <w:r w:rsidR="00CE6D48">
        <w:rPr>
          <w:sz w:val="20"/>
          <w:szCs w:val="20"/>
        </w:rPr>
        <w:t xml:space="preserve"> for 2023</w:t>
      </w:r>
      <w:r>
        <w:rPr>
          <w:sz w:val="20"/>
          <w:szCs w:val="20"/>
        </w:rPr>
        <w:t xml:space="preserve">, which figure includes the hoist, boat park, visiting yachts fees, and fishing boats, the core annual berthing fees are likely to </w:t>
      </w:r>
      <w:r w:rsidR="00CE6D48">
        <w:rPr>
          <w:sz w:val="20"/>
          <w:szCs w:val="20"/>
        </w:rPr>
        <w:t>be in the range £3.5-4m</w:t>
      </w:r>
      <w:r>
        <w:rPr>
          <w:sz w:val="20"/>
          <w:szCs w:val="20"/>
        </w:rPr>
        <w:t xml:space="preserve">. This means the revenue generated by the 11.1% uplift is likely to be in the range £390k to £445k. </w:t>
      </w:r>
      <w:r w:rsidR="00620F4D">
        <w:rPr>
          <w:sz w:val="20"/>
          <w:szCs w:val="20"/>
        </w:rPr>
        <w:t xml:space="preserve">Assume a midpoint of say £425k.  </w:t>
      </w:r>
      <w:r>
        <w:rPr>
          <w:sz w:val="20"/>
          <w:szCs w:val="20"/>
        </w:rPr>
        <w:t xml:space="preserve">Limiting the fee increase to 5% would have </w:t>
      </w:r>
      <w:r w:rsidR="00620F4D">
        <w:rPr>
          <w:sz w:val="20"/>
          <w:szCs w:val="20"/>
        </w:rPr>
        <w:t xml:space="preserve">an adverse impact of revenue of around £235k. </w:t>
      </w:r>
      <w:r>
        <w:rPr>
          <w:sz w:val="20"/>
          <w:szCs w:val="20"/>
        </w:rPr>
        <w:t xml:space="preserve">  </w:t>
      </w:r>
    </w:p>
    <w:sectPr w:rsidR="005C6C96" w:rsidRPr="005C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55A"/>
    <w:multiLevelType w:val="hybridMultilevel"/>
    <w:tmpl w:val="0B12F3B0"/>
    <w:lvl w:ilvl="0" w:tplc="35F2F9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F06CA"/>
    <w:multiLevelType w:val="hybridMultilevel"/>
    <w:tmpl w:val="61ECF3BC"/>
    <w:lvl w:ilvl="0" w:tplc="1DBE5C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809E4"/>
    <w:multiLevelType w:val="hybridMultilevel"/>
    <w:tmpl w:val="650CF788"/>
    <w:lvl w:ilvl="0" w:tplc="A082453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8D4835"/>
    <w:multiLevelType w:val="hybridMultilevel"/>
    <w:tmpl w:val="E3641916"/>
    <w:lvl w:ilvl="0" w:tplc="A9A0D9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4634071">
    <w:abstractNumId w:val="2"/>
  </w:num>
  <w:num w:numId="2" w16cid:durableId="245506512">
    <w:abstractNumId w:val="3"/>
  </w:num>
  <w:num w:numId="3" w16cid:durableId="590624610">
    <w:abstractNumId w:val="0"/>
  </w:num>
  <w:num w:numId="4" w16cid:durableId="113752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BE6"/>
    <w:rsid w:val="00140175"/>
    <w:rsid w:val="00223D6E"/>
    <w:rsid w:val="00283B94"/>
    <w:rsid w:val="0033002B"/>
    <w:rsid w:val="0034142C"/>
    <w:rsid w:val="003C3E36"/>
    <w:rsid w:val="003E4E61"/>
    <w:rsid w:val="004203DE"/>
    <w:rsid w:val="004F5C73"/>
    <w:rsid w:val="005C6C96"/>
    <w:rsid w:val="00620F4D"/>
    <w:rsid w:val="006F1168"/>
    <w:rsid w:val="006F616F"/>
    <w:rsid w:val="00746C6B"/>
    <w:rsid w:val="007E6021"/>
    <w:rsid w:val="00982DD7"/>
    <w:rsid w:val="00A24B0C"/>
    <w:rsid w:val="00A523FD"/>
    <w:rsid w:val="00B72BE6"/>
    <w:rsid w:val="00BD16A8"/>
    <w:rsid w:val="00C8700A"/>
    <w:rsid w:val="00CC41F9"/>
    <w:rsid w:val="00CE6D48"/>
    <w:rsid w:val="00E40C14"/>
    <w:rsid w:val="00E932BF"/>
    <w:rsid w:val="00EA1B5D"/>
    <w:rsid w:val="00EF6D08"/>
    <w:rsid w:val="00F00E08"/>
    <w:rsid w:val="00F4427D"/>
    <w:rsid w:val="00FC5008"/>
    <w:rsid w:val="00FD037A"/>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EEF"/>
  <w15:docId w15:val="{37BF41CB-7A45-4114-AEB0-629D03E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E6"/>
    <w:pPr>
      <w:ind w:left="720"/>
      <w:contextualSpacing/>
    </w:pPr>
  </w:style>
  <w:style w:type="table" w:styleId="TableGrid">
    <w:name w:val="Table Grid"/>
    <w:basedOn w:val="TableNormal"/>
    <w:uiPriority w:val="59"/>
    <w:rsid w:val="00B7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Paul Tinley</cp:lastModifiedBy>
  <cp:revision>2</cp:revision>
  <dcterms:created xsi:type="dcterms:W3CDTF">2024-04-12T18:14:00Z</dcterms:created>
  <dcterms:modified xsi:type="dcterms:W3CDTF">2024-04-12T18:14:00Z</dcterms:modified>
</cp:coreProperties>
</file>