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5FB209" w14:textId="327C21B4" w:rsidR="003E4E61" w:rsidRDefault="003E4E61" w:rsidP="003E4E61">
      <w:pPr>
        <w:spacing w:line="240" w:lineRule="auto"/>
        <w:jc w:val="right"/>
      </w:pPr>
      <w:r w:rsidRPr="00011C41">
        <w:rPr>
          <w:rFonts w:ascii="Times New Roman" w:eastAsia="Times New Roman" w:hAnsi="Times New Roman" w:cs="Times New Roman"/>
          <w:sz w:val="24"/>
          <w:szCs w:val="24"/>
          <w:lang w:eastAsia="en-GB"/>
        </w:rPr>
        <w:fldChar w:fldCharType="begin"/>
      </w:r>
      <w:r w:rsidR="00847A4B">
        <w:rPr>
          <w:rFonts w:ascii="Times New Roman" w:eastAsia="Times New Roman" w:hAnsi="Times New Roman" w:cs="Times New Roman"/>
          <w:sz w:val="24"/>
          <w:szCs w:val="24"/>
          <w:lang w:eastAsia="en-GB"/>
        </w:rPr>
        <w:instrText xml:space="preserve"> INCLUDEPICTURE "C:\\Users\\willsimp\\Library\\Group Containers\\UBF8T346G9.ms\\WebArchiveCopyPasteTempFiles\\com.microsoft.Word\\page1image224698800" \* MERGEFORMAT </w:instrText>
      </w:r>
      <w:r w:rsidRPr="00011C41">
        <w:rPr>
          <w:rFonts w:ascii="Times New Roman" w:eastAsia="Times New Roman" w:hAnsi="Times New Roman" w:cs="Times New Roman"/>
          <w:sz w:val="24"/>
          <w:szCs w:val="24"/>
          <w:lang w:eastAsia="en-GB"/>
        </w:rPr>
        <w:fldChar w:fldCharType="separate"/>
      </w:r>
      <w:r w:rsidRPr="00011C41">
        <w:rPr>
          <w:rFonts w:ascii="Times New Roman" w:eastAsia="Times New Roman" w:hAnsi="Times New Roman" w:cs="Times New Roman"/>
          <w:noProof/>
          <w:sz w:val="24"/>
          <w:szCs w:val="24"/>
          <w:lang w:eastAsia="en-GB"/>
        </w:rPr>
        <w:drawing>
          <wp:inline distT="0" distB="0" distL="0" distR="0" wp14:anchorId="022CF2BF" wp14:editId="11693539">
            <wp:extent cx="5461000" cy="889000"/>
            <wp:effectExtent l="0" t="0" r="0" b="0"/>
            <wp:docPr id="1234373084" name="Picture 1" descr="page1image22469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4698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0" cy="889000"/>
                    </a:xfrm>
                    <a:prstGeom prst="rect">
                      <a:avLst/>
                    </a:prstGeom>
                    <a:noFill/>
                    <a:ln>
                      <a:noFill/>
                    </a:ln>
                  </pic:spPr>
                </pic:pic>
              </a:graphicData>
            </a:graphic>
          </wp:inline>
        </w:drawing>
      </w:r>
      <w:r w:rsidRPr="00011C41">
        <w:rPr>
          <w:rFonts w:ascii="Times New Roman" w:eastAsia="Times New Roman" w:hAnsi="Times New Roman" w:cs="Times New Roman"/>
          <w:sz w:val="24"/>
          <w:szCs w:val="24"/>
          <w:lang w:eastAsia="en-GB"/>
        </w:rPr>
        <w:fldChar w:fldCharType="end"/>
      </w:r>
      <w:r w:rsidRPr="003E4E61">
        <w:t xml:space="preserve"> </w:t>
      </w:r>
      <w:r>
        <w:t xml:space="preserve">   c/o  Hon. Secretary</w:t>
      </w:r>
    </w:p>
    <w:p w14:paraId="7B3DC880" w14:textId="77777777" w:rsidR="003E4E61" w:rsidRDefault="003E4E61" w:rsidP="003E4E61">
      <w:pPr>
        <w:spacing w:line="240" w:lineRule="auto"/>
        <w:jc w:val="right"/>
      </w:pPr>
      <w:r>
        <w:t>Three Corners</w:t>
      </w:r>
    </w:p>
    <w:p w14:paraId="0C41D069" w14:textId="77777777" w:rsidR="003E4E61" w:rsidRDefault="003E4E61" w:rsidP="003E4E61">
      <w:pPr>
        <w:spacing w:line="240" w:lineRule="auto"/>
        <w:jc w:val="right"/>
      </w:pPr>
      <w:r>
        <w:t>La Rue de la Blanche Pierre</w:t>
      </w:r>
    </w:p>
    <w:p w14:paraId="235BFBAC" w14:textId="77777777" w:rsidR="00F04F2D" w:rsidRPr="00F04F2D" w:rsidRDefault="00F04F2D" w:rsidP="00F04F2D">
      <w:pPr>
        <w:rPr>
          <w:sz w:val="20"/>
          <w:szCs w:val="20"/>
        </w:rPr>
      </w:pPr>
      <w:r w:rsidRPr="00F04F2D">
        <w:rPr>
          <w:sz w:val="20"/>
          <w:szCs w:val="20"/>
        </w:rPr>
        <w:t>Captain William Sadler</w:t>
      </w:r>
    </w:p>
    <w:p w14:paraId="1AD2C702" w14:textId="77777777" w:rsidR="00F04F2D" w:rsidRPr="00F04F2D" w:rsidRDefault="00F04F2D" w:rsidP="00F04F2D">
      <w:pPr>
        <w:rPr>
          <w:sz w:val="20"/>
          <w:szCs w:val="20"/>
        </w:rPr>
      </w:pPr>
      <w:r w:rsidRPr="00F04F2D">
        <w:rPr>
          <w:sz w:val="20"/>
          <w:szCs w:val="20"/>
        </w:rPr>
        <w:t xml:space="preserve">Harbour Master </w:t>
      </w:r>
    </w:p>
    <w:p w14:paraId="2329632E" w14:textId="77777777" w:rsidR="00F04F2D" w:rsidRPr="00F04F2D" w:rsidRDefault="00F04F2D" w:rsidP="00F04F2D">
      <w:pPr>
        <w:rPr>
          <w:sz w:val="20"/>
          <w:szCs w:val="20"/>
        </w:rPr>
      </w:pPr>
      <w:r w:rsidRPr="00F04F2D">
        <w:rPr>
          <w:sz w:val="20"/>
          <w:szCs w:val="20"/>
        </w:rPr>
        <w:t>By email – william.sadler@ports.je</w:t>
      </w:r>
    </w:p>
    <w:p w14:paraId="5385FEAE" w14:textId="77777777" w:rsidR="00F04F2D" w:rsidRDefault="00F04F2D" w:rsidP="00F04F2D">
      <w:pPr>
        <w:rPr>
          <w:sz w:val="20"/>
          <w:szCs w:val="20"/>
        </w:rPr>
      </w:pPr>
      <w:r>
        <w:rPr>
          <w:sz w:val="20"/>
          <w:szCs w:val="20"/>
        </w:rPr>
        <w:t>Thursday, 21 December 2023</w:t>
      </w:r>
    </w:p>
    <w:p w14:paraId="05CEB22F" w14:textId="77777777" w:rsidR="00F04F2D" w:rsidRPr="00F04F2D" w:rsidRDefault="00F04F2D" w:rsidP="00F04F2D">
      <w:pPr>
        <w:rPr>
          <w:sz w:val="20"/>
          <w:szCs w:val="20"/>
        </w:rPr>
      </w:pPr>
    </w:p>
    <w:p w14:paraId="659659B6" w14:textId="77777777" w:rsidR="00F04F2D" w:rsidRPr="00F04F2D" w:rsidRDefault="00F04F2D" w:rsidP="00F04F2D">
      <w:pPr>
        <w:rPr>
          <w:sz w:val="20"/>
          <w:szCs w:val="20"/>
        </w:rPr>
      </w:pPr>
      <w:r w:rsidRPr="00F04F2D">
        <w:rPr>
          <w:sz w:val="20"/>
          <w:szCs w:val="20"/>
        </w:rPr>
        <w:t>Dear Captain Sadler</w:t>
      </w:r>
    </w:p>
    <w:p w14:paraId="53FC9480" w14:textId="77777777" w:rsidR="00F04F2D" w:rsidRPr="00F04F2D" w:rsidRDefault="00F04F2D" w:rsidP="00F04F2D">
      <w:pPr>
        <w:rPr>
          <w:sz w:val="20"/>
          <w:szCs w:val="20"/>
        </w:rPr>
      </w:pPr>
      <w:r w:rsidRPr="00F04F2D">
        <w:rPr>
          <w:sz w:val="20"/>
          <w:szCs w:val="20"/>
        </w:rPr>
        <w:t>Thank you for your letter of 18 December in response to ours.</w:t>
      </w:r>
    </w:p>
    <w:p w14:paraId="1BD9D63B" w14:textId="77777777" w:rsidR="00F04F2D" w:rsidRPr="00F04F2D" w:rsidRDefault="00F04F2D" w:rsidP="00F04F2D">
      <w:pPr>
        <w:rPr>
          <w:sz w:val="20"/>
          <w:szCs w:val="20"/>
        </w:rPr>
      </w:pPr>
      <w:r w:rsidRPr="00F04F2D">
        <w:rPr>
          <w:sz w:val="20"/>
          <w:szCs w:val="20"/>
        </w:rPr>
        <w:t>We note what you say, but are disappointed that you have chosen to sidestep the main points in our letter:</w:t>
      </w:r>
    </w:p>
    <w:p w14:paraId="0EFC6636" w14:textId="77777777" w:rsidR="00F04F2D" w:rsidRPr="00F04F2D" w:rsidRDefault="00F04F2D" w:rsidP="00F04F2D">
      <w:pPr>
        <w:numPr>
          <w:ilvl w:val="0"/>
          <w:numId w:val="5"/>
        </w:numPr>
        <w:rPr>
          <w:sz w:val="20"/>
          <w:szCs w:val="20"/>
        </w:rPr>
      </w:pPr>
      <w:r w:rsidRPr="00F04F2D">
        <w:rPr>
          <w:sz w:val="20"/>
          <w:szCs w:val="20"/>
        </w:rPr>
        <w:t xml:space="preserve">PoJ have taken advantage of a statistical anomaly in the inflation numbers to impose an unreasonable fee increase in a time of sharply falling inflation </w:t>
      </w:r>
    </w:p>
    <w:p w14:paraId="03E9D1C1" w14:textId="77777777" w:rsidR="00F04F2D" w:rsidRPr="00F04F2D" w:rsidRDefault="00F04F2D" w:rsidP="00F04F2D">
      <w:pPr>
        <w:numPr>
          <w:ilvl w:val="0"/>
          <w:numId w:val="5"/>
        </w:numPr>
        <w:rPr>
          <w:sz w:val="20"/>
          <w:szCs w:val="20"/>
        </w:rPr>
      </w:pPr>
      <w:r w:rsidRPr="00F04F2D">
        <w:rPr>
          <w:sz w:val="20"/>
          <w:szCs w:val="20"/>
        </w:rPr>
        <w:t>PoJ is abusing its market position as berth providers to raise funds for its plans to develop the commercial port and airport, which should not be cross subsidised by the private boat-owners</w:t>
      </w:r>
    </w:p>
    <w:p w14:paraId="3C208C11" w14:textId="77777777" w:rsidR="00F04F2D" w:rsidRPr="00F04F2D" w:rsidRDefault="00F04F2D" w:rsidP="00F04F2D">
      <w:pPr>
        <w:numPr>
          <w:ilvl w:val="0"/>
          <w:numId w:val="5"/>
        </w:numPr>
        <w:rPr>
          <w:sz w:val="20"/>
          <w:szCs w:val="20"/>
        </w:rPr>
      </w:pPr>
      <w:r w:rsidRPr="00F04F2D">
        <w:rPr>
          <w:sz w:val="20"/>
          <w:szCs w:val="20"/>
        </w:rPr>
        <w:t>Berthing fees will rise 24% in January 2024</w:t>
      </w:r>
    </w:p>
    <w:p w14:paraId="47AA2F6F" w14:textId="77777777" w:rsidR="00F04F2D" w:rsidRPr="00F04F2D" w:rsidRDefault="00F04F2D" w:rsidP="00F04F2D">
      <w:pPr>
        <w:rPr>
          <w:sz w:val="20"/>
          <w:szCs w:val="20"/>
        </w:rPr>
      </w:pPr>
      <w:r w:rsidRPr="00F04F2D">
        <w:rPr>
          <w:sz w:val="20"/>
          <w:szCs w:val="20"/>
        </w:rPr>
        <w:t>You will have seen the news yesterday that UK inflation is down to 3.9% and Jersey underlying inflation is likely to be at similar levels at the year end.</w:t>
      </w:r>
    </w:p>
    <w:p w14:paraId="66EA8532" w14:textId="77777777" w:rsidR="00F04F2D" w:rsidRPr="00F04F2D" w:rsidRDefault="00F04F2D" w:rsidP="00F04F2D">
      <w:pPr>
        <w:rPr>
          <w:sz w:val="20"/>
          <w:szCs w:val="20"/>
        </w:rPr>
      </w:pPr>
      <w:r w:rsidRPr="00F04F2D">
        <w:rPr>
          <w:sz w:val="20"/>
          <w:szCs w:val="20"/>
        </w:rPr>
        <w:t>You make reference to the fact that berths on average are considerably more on the south coast, but that is not really relevant because:</w:t>
      </w:r>
    </w:p>
    <w:p w14:paraId="4E04C121" w14:textId="77777777" w:rsidR="00F04F2D" w:rsidRPr="00F04F2D" w:rsidRDefault="00F04F2D" w:rsidP="00F04F2D">
      <w:pPr>
        <w:numPr>
          <w:ilvl w:val="0"/>
          <w:numId w:val="5"/>
        </w:numPr>
        <w:rPr>
          <w:sz w:val="20"/>
          <w:szCs w:val="20"/>
        </w:rPr>
      </w:pPr>
      <w:r w:rsidRPr="00F04F2D">
        <w:rPr>
          <w:sz w:val="20"/>
          <w:szCs w:val="20"/>
        </w:rPr>
        <w:t>Many of these marinas are owned by private equity investors, who have invested for a profit return on the high initial capital investment they needed to make to buy in at the outset. PoJ was gifted its assets of the harbours and marinas, and should operate as an amenity of the taxpaying community who still own it, albeit now through a company.</w:t>
      </w:r>
    </w:p>
    <w:p w14:paraId="2771F365" w14:textId="77777777" w:rsidR="00F04F2D" w:rsidRPr="00F04F2D" w:rsidRDefault="00F04F2D" w:rsidP="00F04F2D">
      <w:pPr>
        <w:numPr>
          <w:ilvl w:val="0"/>
          <w:numId w:val="5"/>
        </w:numPr>
        <w:rPr>
          <w:sz w:val="20"/>
          <w:szCs w:val="20"/>
        </w:rPr>
      </w:pPr>
      <w:r w:rsidRPr="00F04F2D">
        <w:rPr>
          <w:sz w:val="20"/>
          <w:szCs w:val="20"/>
        </w:rPr>
        <w:t>There are many marinas elsewhere in the UK, outside the south coast, whose fees are considerably lower than PoJ marinas after 23% increase since 2022</w:t>
      </w:r>
    </w:p>
    <w:p w14:paraId="59932C74" w14:textId="77777777" w:rsidR="00F04F2D" w:rsidRPr="00F04F2D" w:rsidRDefault="00F04F2D" w:rsidP="00F04F2D">
      <w:pPr>
        <w:numPr>
          <w:ilvl w:val="0"/>
          <w:numId w:val="5"/>
        </w:numPr>
        <w:rPr>
          <w:sz w:val="20"/>
          <w:szCs w:val="20"/>
        </w:rPr>
      </w:pPr>
      <w:r w:rsidRPr="00F04F2D">
        <w:rPr>
          <w:sz w:val="20"/>
          <w:szCs w:val="20"/>
        </w:rPr>
        <w:t xml:space="preserve">Guernsey will still be considerably cheaper, even after rises well in excess of inflation will be imposed for 2024 </w:t>
      </w:r>
    </w:p>
    <w:p w14:paraId="7E1D31E8" w14:textId="77777777" w:rsidR="00F04F2D" w:rsidRPr="00F04F2D" w:rsidRDefault="00F04F2D" w:rsidP="00F04F2D">
      <w:pPr>
        <w:numPr>
          <w:ilvl w:val="0"/>
          <w:numId w:val="5"/>
        </w:numPr>
        <w:rPr>
          <w:sz w:val="20"/>
          <w:szCs w:val="20"/>
        </w:rPr>
      </w:pPr>
      <w:r w:rsidRPr="00F04F2D">
        <w:rPr>
          <w:sz w:val="20"/>
          <w:szCs w:val="20"/>
        </w:rPr>
        <w:t xml:space="preserve">Mooring fees at marinas in Normandy and Brittany, which are much nearer than the South cost of the UK, are significantly lower </w:t>
      </w:r>
    </w:p>
    <w:p w14:paraId="41109455" w14:textId="77777777" w:rsidR="00F04F2D" w:rsidRPr="00F04F2D" w:rsidRDefault="00F04F2D" w:rsidP="00F04F2D">
      <w:pPr>
        <w:rPr>
          <w:sz w:val="20"/>
          <w:szCs w:val="20"/>
        </w:rPr>
      </w:pPr>
      <w:r w:rsidRPr="00F04F2D">
        <w:rPr>
          <w:sz w:val="20"/>
          <w:szCs w:val="20"/>
        </w:rPr>
        <w:lastRenderedPageBreak/>
        <w:t>We recognise that boat moorings in the outlying harbours represent reasonable value and the difference in £ terms between the fee increase you propose (11.1%) and the amount we are offering to pay (5.3%) is negligible. However, many of our members’ boats need to be berthed in a marina and the extra cost as a result of your above-inflation rise is substantial.</w:t>
      </w:r>
    </w:p>
    <w:p w14:paraId="34174EE1" w14:textId="77777777" w:rsidR="00F04F2D" w:rsidRPr="00F04F2D" w:rsidRDefault="00F04F2D" w:rsidP="00F04F2D">
      <w:pPr>
        <w:rPr>
          <w:sz w:val="20"/>
          <w:szCs w:val="20"/>
        </w:rPr>
      </w:pPr>
      <w:r w:rsidRPr="00F04F2D">
        <w:rPr>
          <w:sz w:val="20"/>
          <w:szCs w:val="20"/>
        </w:rPr>
        <w:t xml:space="preserve">We note your proposal to put a MoU in place with each BOA, and welcome in principle the idea. We would note some caution, as our historical experience of periodic meetings with PoJ is that although cordial, there has been little evidence of meaningful action being taken by PoJ as a result of these meetings. We would welcome a fresh start in this regard. </w:t>
      </w:r>
    </w:p>
    <w:p w14:paraId="7D39EAF2" w14:textId="77777777" w:rsidR="00F04F2D" w:rsidRPr="00F04F2D" w:rsidRDefault="00F04F2D" w:rsidP="00F04F2D">
      <w:pPr>
        <w:rPr>
          <w:sz w:val="20"/>
          <w:szCs w:val="20"/>
        </w:rPr>
      </w:pPr>
      <w:r w:rsidRPr="00F04F2D">
        <w:rPr>
          <w:sz w:val="20"/>
          <w:szCs w:val="20"/>
        </w:rPr>
        <w:t>We did hope that our reasonable request for the increase to be deferred to 1 March (the anniversary of the last increase), and to be limited to 5.3% (the true underlying inflation rate) would on balance, seem a fair approach and you would reconsider.</w:t>
      </w:r>
    </w:p>
    <w:p w14:paraId="31F7449E" w14:textId="77777777" w:rsidR="00F04F2D" w:rsidRPr="00F04F2D" w:rsidRDefault="00F04F2D" w:rsidP="00F04F2D">
      <w:pPr>
        <w:rPr>
          <w:sz w:val="20"/>
          <w:szCs w:val="20"/>
        </w:rPr>
      </w:pPr>
      <w:r w:rsidRPr="00F04F2D">
        <w:rPr>
          <w:sz w:val="20"/>
          <w:szCs w:val="20"/>
        </w:rPr>
        <w:t>As that does not appear to be the case, we are now raising a formal complaint and referral to the Jersey Competition Regulatory Authority, requesting that they investigate a number of breaches of the PoJ licence conditions:</w:t>
      </w:r>
    </w:p>
    <w:p w14:paraId="7610413B" w14:textId="77777777" w:rsidR="00F04F2D" w:rsidRPr="00F04F2D" w:rsidRDefault="00F04F2D" w:rsidP="00F04F2D">
      <w:pPr>
        <w:numPr>
          <w:ilvl w:val="0"/>
          <w:numId w:val="6"/>
        </w:numPr>
        <w:rPr>
          <w:sz w:val="20"/>
          <w:szCs w:val="20"/>
        </w:rPr>
      </w:pPr>
      <w:r w:rsidRPr="00F04F2D">
        <w:rPr>
          <w:sz w:val="20"/>
          <w:szCs w:val="20"/>
        </w:rPr>
        <w:t>The imposition of two increases in fees in one year, resulting in a 23% increase in fees in January 2024 compared with January 2023</w:t>
      </w:r>
    </w:p>
    <w:p w14:paraId="68A35A7C" w14:textId="77777777" w:rsidR="00F04F2D" w:rsidRPr="00F04F2D" w:rsidRDefault="00F04F2D" w:rsidP="00F04F2D">
      <w:pPr>
        <w:numPr>
          <w:ilvl w:val="0"/>
          <w:numId w:val="6"/>
        </w:numPr>
        <w:rPr>
          <w:sz w:val="20"/>
          <w:szCs w:val="20"/>
        </w:rPr>
      </w:pPr>
      <w:r w:rsidRPr="00F04F2D">
        <w:rPr>
          <w:sz w:val="20"/>
          <w:szCs w:val="20"/>
        </w:rPr>
        <w:t>Abuse of dominant position on a group of customers by unfairly increasing prices for boat owners to cross-subsidise the redevelopment of the commercial port and airport</w:t>
      </w:r>
    </w:p>
    <w:p w14:paraId="5DD3302B" w14:textId="77777777" w:rsidR="00F04F2D" w:rsidRPr="00F04F2D" w:rsidRDefault="00F04F2D" w:rsidP="00F04F2D">
      <w:pPr>
        <w:numPr>
          <w:ilvl w:val="0"/>
          <w:numId w:val="6"/>
        </w:numPr>
        <w:rPr>
          <w:sz w:val="20"/>
          <w:szCs w:val="20"/>
        </w:rPr>
      </w:pPr>
      <w:r w:rsidRPr="00F04F2D">
        <w:rPr>
          <w:sz w:val="20"/>
          <w:szCs w:val="20"/>
        </w:rPr>
        <w:t xml:space="preserve">Under reporting of complaints from customers </w:t>
      </w:r>
    </w:p>
    <w:p w14:paraId="09EBDBC2" w14:textId="77777777" w:rsidR="00F04F2D" w:rsidRPr="00F04F2D" w:rsidRDefault="00F04F2D" w:rsidP="00F04F2D">
      <w:pPr>
        <w:rPr>
          <w:sz w:val="20"/>
          <w:szCs w:val="20"/>
        </w:rPr>
      </w:pPr>
      <w:r w:rsidRPr="00F04F2D">
        <w:rPr>
          <w:sz w:val="20"/>
          <w:szCs w:val="20"/>
        </w:rPr>
        <w:t>In our letter of December 8</w:t>
      </w:r>
      <w:r w:rsidRPr="00F04F2D">
        <w:rPr>
          <w:sz w:val="20"/>
          <w:szCs w:val="20"/>
          <w:vertAlign w:val="superscript"/>
        </w:rPr>
        <w:t>th</w:t>
      </w:r>
      <w:r w:rsidRPr="00F04F2D">
        <w:rPr>
          <w:sz w:val="20"/>
          <w:szCs w:val="20"/>
        </w:rPr>
        <w:t xml:space="preserve"> to Matt Thomas where we lodged our complaint about the fee increase, we noted our concern about the short notice of this increase. As part of the referral we are asking the JCRA to order you to defer the increase in fees until they have completed their investigation.</w:t>
      </w:r>
    </w:p>
    <w:p w14:paraId="385A57CD" w14:textId="77777777" w:rsidR="00F04F2D" w:rsidRPr="00F04F2D" w:rsidRDefault="00F04F2D" w:rsidP="00F04F2D">
      <w:pPr>
        <w:rPr>
          <w:sz w:val="20"/>
          <w:szCs w:val="20"/>
        </w:rPr>
      </w:pPr>
      <w:r w:rsidRPr="00F04F2D">
        <w:rPr>
          <w:sz w:val="20"/>
          <w:szCs w:val="20"/>
        </w:rPr>
        <w:t>In addition, we are making contact with The Yacht Harbour Association (TYHA) regarding the levels of berth-holder dissatisfaction across a number of aspects (currently fees, but the car parking situation is another source of widespread discontent and there have been others over the last couple of years) to call into question the validity of the five gold anchor rating.</w:t>
      </w:r>
    </w:p>
    <w:p w14:paraId="7CE72165" w14:textId="77777777" w:rsidR="00F04F2D" w:rsidRPr="00F04F2D" w:rsidRDefault="00F04F2D" w:rsidP="00F04F2D">
      <w:pPr>
        <w:rPr>
          <w:sz w:val="20"/>
          <w:szCs w:val="20"/>
        </w:rPr>
      </w:pPr>
      <w:r w:rsidRPr="00F04F2D">
        <w:rPr>
          <w:sz w:val="20"/>
          <w:szCs w:val="20"/>
        </w:rPr>
        <w:t xml:space="preserve">Yours Sincerely    </w:t>
      </w:r>
    </w:p>
    <w:p w14:paraId="49F91C4C" w14:textId="77777777" w:rsidR="00F04F2D" w:rsidRPr="00F04F2D" w:rsidRDefault="00F04F2D" w:rsidP="00F04F2D">
      <w:pPr>
        <w:rPr>
          <w:sz w:val="20"/>
          <w:szCs w:val="20"/>
        </w:rPr>
      </w:pPr>
      <w:r w:rsidRPr="00F04F2D">
        <w:rPr>
          <w:sz w:val="20"/>
          <w:szCs w:val="20"/>
        </w:rPr>
        <w:t xml:space="preserve"> </w:t>
      </w:r>
    </w:p>
    <w:p w14:paraId="462EBC73" w14:textId="77777777" w:rsidR="00F04F2D" w:rsidRDefault="00F04F2D" w:rsidP="00F04F2D">
      <w:pPr>
        <w:rPr>
          <w:sz w:val="20"/>
          <w:szCs w:val="20"/>
        </w:rPr>
      </w:pPr>
      <w:r w:rsidRPr="00011C41">
        <w:rPr>
          <w:b/>
          <w:bCs/>
          <w:iCs/>
          <w:sz w:val="24"/>
          <w:szCs w:val="24"/>
        </w:rPr>
        <w:t>St Helier Boat Owners Association</w:t>
      </w:r>
    </w:p>
    <w:p w14:paraId="6EA4ADCA" w14:textId="77777777" w:rsidR="00F04F2D" w:rsidRPr="00F04F2D" w:rsidRDefault="00F04F2D" w:rsidP="00F04F2D">
      <w:pPr>
        <w:rPr>
          <w:sz w:val="20"/>
          <w:szCs w:val="20"/>
        </w:rPr>
      </w:pPr>
    </w:p>
    <w:p w14:paraId="3EAC2362" w14:textId="77777777" w:rsidR="00F04F2D" w:rsidRPr="00F04F2D" w:rsidRDefault="00F04F2D" w:rsidP="00F04F2D">
      <w:pPr>
        <w:rPr>
          <w:sz w:val="20"/>
          <w:szCs w:val="20"/>
        </w:rPr>
      </w:pPr>
      <w:r w:rsidRPr="00F04F2D">
        <w:rPr>
          <w:sz w:val="20"/>
          <w:szCs w:val="20"/>
        </w:rPr>
        <w:t>Cc Matt Thomas CEO PoJ   matt.thomas@poj.je</w:t>
      </w:r>
    </w:p>
    <w:p w14:paraId="6CD629F6" w14:textId="77777777" w:rsidR="00F04F2D" w:rsidRPr="00F04F2D" w:rsidRDefault="00F04F2D" w:rsidP="00F04F2D">
      <w:pPr>
        <w:rPr>
          <w:sz w:val="20"/>
          <w:szCs w:val="20"/>
        </w:rPr>
      </w:pPr>
      <w:r w:rsidRPr="00F04F2D">
        <w:rPr>
          <w:sz w:val="20"/>
          <w:szCs w:val="20"/>
        </w:rPr>
        <w:t>Cc JCRA</w:t>
      </w:r>
    </w:p>
    <w:p w14:paraId="169559A1" w14:textId="77777777" w:rsidR="00F04F2D" w:rsidRDefault="00F04F2D" w:rsidP="00EF6D08">
      <w:pPr>
        <w:rPr>
          <w:sz w:val="20"/>
          <w:szCs w:val="20"/>
        </w:rPr>
      </w:pPr>
    </w:p>
    <w:p w14:paraId="5675F829" w14:textId="77777777" w:rsidR="003E4E61" w:rsidRDefault="003E4E61" w:rsidP="003E4E61">
      <w:pPr>
        <w:rPr>
          <w:sz w:val="20"/>
          <w:szCs w:val="20"/>
        </w:rPr>
      </w:pPr>
    </w:p>
    <w:p w14:paraId="06BE226D" w14:textId="77777777" w:rsidR="003E4E61" w:rsidRDefault="003E4E61" w:rsidP="003E4E61">
      <w:pPr>
        <w:rPr>
          <w:sz w:val="20"/>
          <w:szCs w:val="20"/>
        </w:rPr>
      </w:pPr>
    </w:p>
    <w:p w14:paraId="4BA3BDAD" w14:textId="0A006165" w:rsidR="00223D6E" w:rsidRPr="00140175" w:rsidRDefault="00223D6E">
      <w:pPr>
        <w:rPr>
          <w:sz w:val="20"/>
          <w:szCs w:val="20"/>
        </w:rPr>
      </w:pPr>
      <w:r w:rsidRPr="003C3E36">
        <w:rPr>
          <w:i/>
          <w:sz w:val="20"/>
          <w:szCs w:val="20"/>
        </w:rPr>
        <w:br w:type="page"/>
      </w:r>
    </w:p>
    <w:p w14:paraId="63B07DD9" w14:textId="77777777" w:rsidR="005C6C96" w:rsidRDefault="00CC41F9" w:rsidP="005C6C96">
      <w:pPr>
        <w:rPr>
          <w:sz w:val="20"/>
          <w:szCs w:val="20"/>
        </w:rPr>
      </w:pPr>
      <w:r>
        <w:rPr>
          <w:sz w:val="20"/>
          <w:szCs w:val="20"/>
        </w:rPr>
        <w:t>A</w:t>
      </w:r>
      <w:r w:rsidR="005C6C96">
        <w:rPr>
          <w:sz w:val="20"/>
          <w:szCs w:val="20"/>
        </w:rPr>
        <w:t>ppendix 1</w:t>
      </w:r>
    </w:p>
    <w:p w14:paraId="04D8CC2C" w14:textId="77777777" w:rsidR="005C6C96" w:rsidRDefault="005C6C96" w:rsidP="005C6C96">
      <w:pPr>
        <w:pStyle w:val="ListParagraph"/>
        <w:ind w:left="0"/>
        <w:rPr>
          <w:b/>
          <w:sz w:val="20"/>
          <w:szCs w:val="20"/>
        </w:rPr>
      </w:pPr>
      <w:r w:rsidRPr="00004CFB">
        <w:rPr>
          <w:b/>
          <w:sz w:val="20"/>
          <w:szCs w:val="20"/>
        </w:rPr>
        <w:t xml:space="preserve">Jersey inflation </w:t>
      </w:r>
    </w:p>
    <w:p w14:paraId="0C1D5B66" w14:textId="77777777" w:rsidR="005C6C96" w:rsidRDefault="005C6C96" w:rsidP="005C6C96">
      <w:pPr>
        <w:rPr>
          <w:sz w:val="20"/>
          <w:szCs w:val="20"/>
        </w:rPr>
      </w:pPr>
      <w:r>
        <w:rPr>
          <w:sz w:val="20"/>
          <w:szCs w:val="20"/>
        </w:rPr>
        <w:t>Figures for Jersey inflation are produced quarterly by Statistics Jersey. Because of the significant distorting effect of housing costs on the index, and the fact the measure is used across such a breadth of different purposes, Statistics Jersey produce three different RPIs relevant to this subject:</w:t>
      </w:r>
    </w:p>
    <w:p w14:paraId="5D48205C" w14:textId="77777777" w:rsidR="005C6C96" w:rsidRDefault="005C6C96" w:rsidP="005C6C96">
      <w:pPr>
        <w:pStyle w:val="ListParagraph"/>
        <w:numPr>
          <w:ilvl w:val="0"/>
          <w:numId w:val="3"/>
        </w:numPr>
        <w:rPr>
          <w:sz w:val="20"/>
          <w:szCs w:val="20"/>
        </w:rPr>
      </w:pPr>
      <w:r>
        <w:rPr>
          <w:sz w:val="20"/>
          <w:szCs w:val="20"/>
        </w:rPr>
        <w:t xml:space="preserve">all-items </w:t>
      </w:r>
      <w:r w:rsidRPr="00D83C27">
        <w:rPr>
          <w:sz w:val="20"/>
          <w:szCs w:val="20"/>
        </w:rPr>
        <w:t>RPI</w:t>
      </w:r>
      <w:r>
        <w:rPr>
          <w:sz w:val="20"/>
          <w:szCs w:val="20"/>
        </w:rPr>
        <w:t xml:space="preserve"> (the ‘headline’ rate)</w:t>
      </w:r>
    </w:p>
    <w:p w14:paraId="330E4E20" w14:textId="77777777" w:rsidR="005C6C96" w:rsidRDefault="005C6C96" w:rsidP="005C6C96">
      <w:pPr>
        <w:pStyle w:val="ListParagraph"/>
        <w:numPr>
          <w:ilvl w:val="0"/>
          <w:numId w:val="3"/>
        </w:numPr>
        <w:rPr>
          <w:sz w:val="20"/>
          <w:szCs w:val="20"/>
        </w:rPr>
      </w:pPr>
      <w:r w:rsidRPr="00D83C27">
        <w:rPr>
          <w:sz w:val="20"/>
          <w:szCs w:val="20"/>
        </w:rPr>
        <w:t xml:space="preserve">RPI </w:t>
      </w:r>
      <w:r>
        <w:rPr>
          <w:sz w:val="20"/>
          <w:szCs w:val="20"/>
        </w:rPr>
        <w:t xml:space="preserve">(X), which </w:t>
      </w:r>
      <w:r w:rsidRPr="00D83C27">
        <w:rPr>
          <w:sz w:val="20"/>
          <w:szCs w:val="20"/>
        </w:rPr>
        <w:t>exclud</w:t>
      </w:r>
      <w:r>
        <w:rPr>
          <w:sz w:val="20"/>
          <w:szCs w:val="20"/>
        </w:rPr>
        <w:t xml:space="preserve">es </w:t>
      </w:r>
      <w:r w:rsidRPr="00D83C27">
        <w:rPr>
          <w:sz w:val="20"/>
          <w:szCs w:val="20"/>
        </w:rPr>
        <w:t>the effect of changes in housing costs (a composite of mortgage and rent inflati</w:t>
      </w:r>
      <w:r>
        <w:rPr>
          <w:sz w:val="20"/>
          <w:szCs w:val="20"/>
        </w:rPr>
        <w:t xml:space="preserve">onary factors) </w:t>
      </w:r>
    </w:p>
    <w:p w14:paraId="46D80042" w14:textId="77777777" w:rsidR="005C6C96" w:rsidRPr="00D00B0C" w:rsidRDefault="005C6C96" w:rsidP="005C6C96">
      <w:pPr>
        <w:pStyle w:val="ListParagraph"/>
        <w:numPr>
          <w:ilvl w:val="0"/>
          <w:numId w:val="3"/>
        </w:numPr>
        <w:rPr>
          <w:sz w:val="20"/>
          <w:szCs w:val="20"/>
        </w:rPr>
      </w:pPr>
      <w:r w:rsidRPr="00D83C27">
        <w:rPr>
          <w:sz w:val="20"/>
          <w:szCs w:val="20"/>
        </w:rPr>
        <w:t xml:space="preserve">RPI </w:t>
      </w:r>
      <w:r>
        <w:rPr>
          <w:sz w:val="20"/>
          <w:szCs w:val="20"/>
        </w:rPr>
        <w:t>(Y), which</w:t>
      </w:r>
      <w:r w:rsidRPr="00D83C27">
        <w:rPr>
          <w:sz w:val="20"/>
          <w:szCs w:val="20"/>
        </w:rPr>
        <w:t xml:space="preserve"> exclud</w:t>
      </w:r>
      <w:r>
        <w:rPr>
          <w:sz w:val="20"/>
          <w:szCs w:val="20"/>
        </w:rPr>
        <w:t xml:space="preserve">es both </w:t>
      </w:r>
      <w:r w:rsidRPr="00D83C27">
        <w:rPr>
          <w:sz w:val="20"/>
          <w:szCs w:val="20"/>
        </w:rPr>
        <w:t>housing costs</w:t>
      </w:r>
      <w:r>
        <w:rPr>
          <w:sz w:val="20"/>
          <w:szCs w:val="20"/>
        </w:rPr>
        <w:t xml:space="preserve"> and indirect taxes</w:t>
      </w:r>
    </w:p>
    <w:p w14:paraId="678ECDA0" w14:textId="77777777" w:rsidR="005C6C96" w:rsidRDefault="005C6C96" w:rsidP="005C6C96">
      <w:pPr>
        <w:rPr>
          <w:sz w:val="20"/>
          <w:szCs w:val="20"/>
        </w:rPr>
      </w:pPr>
      <w:r>
        <w:rPr>
          <w:sz w:val="20"/>
          <w:szCs w:val="20"/>
        </w:rPr>
        <w:t>S</w:t>
      </w:r>
      <w:r w:rsidRPr="00D00B0C">
        <w:rPr>
          <w:sz w:val="20"/>
          <w:szCs w:val="20"/>
        </w:rPr>
        <w:t xml:space="preserve">tatistics Jersey </w:t>
      </w:r>
      <w:r>
        <w:rPr>
          <w:sz w:val="20"/>
          <w:szCs w:val="20"/>
        </w:rPr>
        <w:t xml:space="preserve">describe RPI(Y) as </w:t>
      </w:r>
      <w:r w:rsidRPr="00D00B0C">
        <w:rPr>
          <w:sz w:val="20"/>
          <w:szCs w:val="20"/>
        </w:rPr>
        <w:t>‘underlying inflation’</w:t>
      </w:r>
      <w:r>
        <w:rPr>
          <w:sz w:val="20"/>
          <w:szCs w:val="20"/>
        </w:rPr>
        <w:t>.</w:t>
      </w:r>
    </w:p>
    <w:p w14:paraId="6C73514F" w14:textId="77777777" w:rsidR="005C6C96" w:rsidRPr="00D00B0C" w:rsidRDefault="005C6C96" w:rsidP="005C6C96">
      <w:pPr>
        <w:rPr>
          <w:sz w:val="20"/>
          <w:szCs w:val="20"/>
        </w:rPr>
      </w:pPr>
      <w:r>
        <w:rPr>
          <w:sz w:val="20"/>
          <w:szCs w:val="20"/>
        </w:rPr>
        <w:t>The UK equivalent, called CPI (consumer price index), is widely used in indexing adjustments.</w:t>
      </w:r>
    </w:p>
    <w:tbl>
      <w:tblPr>
        <w:tblStyle w:val="TableGrid"/>
        <w:tblW w:w="0" w:type="auto"/>
        <w:tblLook w:val="04A0" w:firstRow="1" w:lastRow="0" w:firstColumn="1" w:lastColumn="0" w:noHBand="0" w:noVBand="1"/>
      </w:tblPr>
      <w:tblGrid>
        <w:gridCol w:w="1765"/>
        <w:gridCol w:w="1130"/>
        <w:gridCol w:w="1020"/>
        <w:gridCol w:w="1020"/>
        <w:gridCol w:w="1130"/>
        <w:gridCol w:w="1130"/>
        <w:gridCol w:w="1068"/>
        <w:gridCol w:w="979"/>
      </w:tblGrid>
      <w:tr w:rsidR="005C6C96" w14:paraId="598D501D" w14:textId="77777777" w:rsidTr="00182031">
        <w:tc>
          <w:tcPr>
            <w:tcW w:w="1765" w:type="dxa"/>
          </w:tcPr>
          <w:p w14:paraId="1F0329E7" w14:textId="77777777" w:rsidR="005C6C96" w:rsidRDefault="005C6C96" w:rsidP="00182031">
            <w:pPr>
              <w:rPr>
                <w:b/>
                <w:sz w:val="20"/>
                <w:szCs w:val="20"/>
              </w:rPr>
            </w:pPr>
          </w:p>
        </w:tc>
        <w:tc>
          <w:tcPr>
            <w:tcW w:w="1130" w:type="dxa"/>
          </w:tcPr>
          <w:p w14:paraId="576B5377" w14:textId="77777777" w:rsidR="005C6C96" w:rsidRDefault="005C6C96" w:rsidP="00182031">
            <w:pPr>
              <w:jc w:val="center"/>
              <w:rPr>
                <w:b/>
                <w:sz w:val="20"/>
                <w:szCs w:val="20"/>
              </w:rPr>
            </w:pPr>
            <w:r>
              <w:rPr>
                <w:b/>
                <w:sz w:val="20"/>
                <w:szCs w:val="20"/>
              </w:rPr>
              <w:t>2023</w:t>
            </w:r>
          </w:p>
          <w:p w14:paraId="4B6DE02F" w14:textId="77777777" w:rsidR="005C6C96" w:rsidRDefault="005C6C96" w:rsidP="00182031">
            <w:pPr>
              <w:jc w:val="center"/>
              <w:rPr>
                <w:b/>
                <w:sz w:val="20"/>
                <w:szCs w:val="20"/>
              </w:rPr>
            </w:pPr>
            <w:r>
              <w:rPr>
                <w:b/>
                <w:sz w:val="20"/>
                <w:szCs w:val="20"/>
              </w:rPr>
              <w:t>%</w:t>
            </w:r>
          </w:p>
        </w:tc>
        <w:tc>
          <w:tcPr>
            <w:tcW w:w="1020" w:type="dxa"/>
          </w:tcPr>
          <w:p w14:paraId="513E50C0" w14:textId="77777777" w:rsidR="005C6C96" w:rsidRDefault="005C6C96" w:rsidP="00182031">
            <w:pPr>
              <w:jc w:val="center"/>
              <w:rPr>
                <w:b/>
                <w:sz w:val="20"/>
                <w:szCs w:val="20"/>
              </w:rPr>
            </w:pPr>
            <w:r>
              <w:rPr>
                <w:b/>
                <w:sz w:val="20"/>
                <w:szCs w:val="20"/>
              </w:rPr>
              <w:t>2022</w:t>
            </w:r>
          </w:p>
          <w:p w14:paraId="5EACC23F" w14:textId="77777777" w:rsidR="005C6C96" w:rsidRDefault="005C6C96" w:rsidP="00182031">
            <w:pPr>
              <w:jc w:val="center"/>
              <w:rPr>
                <w:b/>
                <w:sz w:val="20"/>
                <w:szCs w:val="20"/>
              </w:rPr>
            </w:pPr>
            <w:r>
              <w:rPr>
                <w:b/>
                <w:sz w:val="20"/>
                <w:szCs w:val="20"/>
              </w:rPr>
              <w:t>%</w:t>
            </w:r>
          </w:p>
        </w:tc>
        <w:tc>
          <w:tcPr>
            <w:tcW w:w="1020" w:type="dxa"/>
          </w:tcPr>
          <w:p w14:paraId="24A4C554" w14:textId="77777777" w:rsidR="005C6C96" w:rsidRDefault="005C6C96" w:rsidP="00182031">
            <w:pPr>
              <w:jc w:val="center"/>
              <w:rPr>
                <w:b/>
                <w:sz w:val="20"/>
                <w:szCs w:val="20"/>
              </w:rPr>
            </w:pPr>
            <w:r>
              <w:rPr>
                <w:b/>
                <w:sz w:val="20"/>
                <w:szCs w:val="20"/>
              </w:rPr>
              <w:t>2021</w:t>
            </w:r>
          </w:p>
          <w:p w14:paraId="6032E435" w14:textId="77777777" w:rsidR="005C6C96" w:rsidRDefault="005C6C96" w:rsidP="00182031">
            <w:pPr>
              <w:jc w:val="center"/>
              <w:rPr>
                <w:b/>
                <w:sz w:val="20"/>
                <w:szCs w:val="20"/>
              </w:rPr>
            </w:pPr>
            <w:r>
              <w:rPr>
                <w:b/>
                <w:sz w:val="20"/>
                <w:szCs w:val="20"/>
              </w:rPr>
              <w:t>%</w:t>
            </w:r>
          </w:p>
        </w:tc>
        <w:tc>
          <w:tcPr>
            <w:tcW w:w="1130" w:type="dxa"/>
          </w:tcPr>
          <w:p w14:paraId="1B69A40A" w14:textId="77777777" w:rsidR="005C6C96" w:rsidRDefault="005C6C96" w:rsidP="00182031">
            <w:pPr>
              <w:jc w:val="center"/>
              <w:rPr>
                <w:b/>
                <w:sz w:val="20"/>
                <w:szCs w:val="20"/>
              </w:rPr>
            </w:pPr>
            <w:r>
              <w:rPr>
                <w:b/>
                <w:sz w:val="20"/>
                <w:szCs w:val="20"/>
              </w:rPr>
              <w:t>2020</w:t>
            </w:r>
          </w:p>
          <w:p w14:paraId="3EC6E4DB" w14:textId="77777777" w:rsidR="005C6C96" w:rsidRDefault="005C6C96" w:rsidP="00182031">
            <w:pPr>
              <w:jc w:val="center"/>
              <w:rPr>
                <w:b/>
                <w:sz w:val="20"/>
                <w:szCs w:val="20"/>
              </w:rPr>
            </w:pPr>
            <w:r>
              <w:rPr>
                <w:b/>
                <w:sz w:val="20"/>
                <w:szCs w:val="20"/>
              </w:rPr>
              <w:t>%</w:t>
            </w:r>
          </w:p>
        </w:tc>
        <w:tc>
          <w:tcPr>
            <w:tcW w:w="1130" w:type="dxa"/>
          </w:tcPr>
          <w:p w14:paraId="6F467B80" w14:textId="77777777" w:rsidR="005C6C96" w:rsidRDefault="005C6C96" w:rsidP="00182031">
            <w:pPr>
              <w:jc w:val="center"/>
              <w:rPr>
                <w:b/>
                <w:sz w:val="20"/>
                <w:szCs w:val="20"/>
              </w:rPr>
            </w:pPr>
            <w:r>
              <w:rPr>
                <w:b/>
                <w:sz w:val="20"/>
                <w:szCs w:val="20"/>
              </w:rPr>
              <w:t>2019</w:t>
            </w:r>
          </w:p>
          <w:p w14:paraId="7DFCC473" w14:textId="77777777" w:rsidR="005C6C96" w:rsidRDefault="005C6C96" w:rsidP="00182031">
            <w:pPr>
              <w:jc w:val="center"/>
              <w:rPr>
                <w:b/>
                <w:sz w:val="20"/>
                <w:szCs w:val="20"/>
              </w:rPr>
            </w:pPr>
            <w:r>
              <w:rPr>
                <w:b/>
                <w:sz w:val="20"/>
                <w:szCs w:val="20"/>
              </w:rPr>
              <w:t>%</w:t>
            </w:r>
          </w:p>
        </w:tc>
        <w:tc>
          <w:tcPr>
            <w:tcW w:w="1068" w:type="dxa"/>
          </w:tcPr>
          <w:p w14:paraId="65095FCB" w14:textId="77777777" w:rsidR="005C6C96" w:rsidRDefault="005C6C96" w:rsidP="00182031">
            <w:pPr>
              <w:jc w:val="center"/>
              <w:rPr>
                <w:b/>
                <w:sz w:val="20"/>
                <w:szCs w:val="20"/>
              </w:rPr>
            </w:pPr>
            <w:r>
              <w:rPr>
                <w:b/>
                <w:sz w:val="20"/>
                <w:szCs w:val="20"/>
              </w:rPr>
              <w:t>2018</w:t>
            </w:r>
          </w:p>
          <w:p w14:paraId="33ACDDDE" w14:textId="77777777" w:rsidR="005C6C96" w:rsidRDefault="005C6C96" w:rsidP="00182031">
            <w:pPr>
              <w:jc w:val="center"/>
              <w:rPr>
                <w:b/>
                <w:sz w:val="20"/>
                <w:szCs w:val="20"/>
              </w:rPr>
            </w:pPr>
            <w:r>
              <w:rPr>
                <w:b/>
                <w:sz w:val="20"/>
                <w:szCs w:val="20"/>
              </w:rPr>
              <w:t>%</w:t>
            </w:r>
          </w:p>
        </w:tc>
        <w:tc>
          <w:tcPr>
            <w:tcW w:w="979" w:type="dxa"/>
          </w:tcPr>
          <w:p w14:paraId="09C84F70" w14:textId="77777777" w:rsidR="005C6C96" w:rsidRDefault="005C6C96" w:rsidP="00182031">
            <w:pPr>
              <w:jc w:val="center"/>
              <w:rPr>
                <w:b/>
                <w:sz w:val="20"/>
                <w:szCs w:val="20"/>
              </w:rPr>
            </w:pPr>
            <w:r>
              <w:rPr>
                <w:b/>
                <w:sz w:val="20"/>
                <w:szCs w:val="20"/>
              </w:rPr>
              <w:t>2017</w:t>
            </w:r>
          </w:p>
          <w:p w14:paraId="649C4198" w14:textId="77777777" w:rsidR="005C6C96" w:rsidRDefault="005C6C96" w:rsidP="00182031">
            <w:pPr>
              <w:jc w:val="center"/>
              <w:rPr>
                <w:b/>
                <w:sz w:val="20"/>
                <w:szCs w:val="20"/>
              </w:rPr>
            </w:pPr>
            <w:r>
              <w:rPr>
                <w:b/>
                <w:sz w:val="20"/>
                <w:szCs w:val="20"/>
              </w:rPr>
              <w:t>%</w:t>
            </w:r>
          </w:p>
        </w:tc>
      </w:tr>
      <w:tr w:rsidR="005C6C96" w14:paraId="170B58C8" w14:textId="77777777" w:rsidTr="00182031">
        <w:tc>
          <w:tcPr>
            <w:tcW w:w="1765" w:type="dxa"/>
          </w:tcPr>
          <w:p w14:paraId="1D4757F5" w14:textId="77777777" w:rsidR="005C6C96" w:rsidRPr="001D34C2" w:rsidRDefault="005C6C96" w:rsidP="00182031">
            <w:pPr>
              <w:rPr>
                <w:sz w:val="20"/>
                <w:szCs w:val="20"/>
              </w:rPr>
            </w:pPr>
            <w:r w:rsidRPr="001D34C2">
              <w:rPr>
                <w:sz w:val="20"/>
                <w:szCs w:val="20"/>
              </w:rPr>
              <w:t xml:space="preserve">RPI   September </w:t>
            </w:r>
          </w:p>
        </w:tc>
        <w:tc>
          <w:tcPr>
            <w:tcW w:w="1130" w:type="dxa"/>
          </w:tcPr>
          <w:p w14:paraId="5506094D" w14:textId="77777777" w:rsidR="005C6C96" w:rsidRPr="001D34C2" w:rsidRDefault="005C6C96" w:rsidP="00182031">
            <w:pPr>
              <w:jc w:val="center"/>
              <w:rPr>
                <w:sz w:val="20"/>
                <w:szCs w:val="20"/>
              </w:rPr>
            </w:pPr>
            <w:r w:rsidRPr="001D34C2">
              <w:rPr>
                <w:sz w:val="20"/>
                <w:szCs w:val="20"/>
              </w:rPr>
              <w:t>10.1</w:t>
            </w:r>
          </w:p>
        </w:tc>
        <w:tc>
          <w:tcPr>
            <w:tcW w:w="1020" w:type="dxa"/>
          </w:tcPr>
          <w:p w14:paraId="639FAAC2" w14:textId="77777777" w:rsidR="005C6C96" w:rsidRPr="001D34C2" w:rsidRDefault="005C6C96" w:rsidP="00182031">
            <w:pPr>
              <w:jc w:val="center"/>
              <w:rPr>
                <w:sz w:val="20"/>
                <w:szCs w:val="20"/>
              </w:rPr>
            </w:pPr>
            <w:r>
              <w:rPr>
                <w:sz w:val="20"/>
                <w:szCs w:val="20"/>
              </w:rPr>
              <w:t>10.4</w:t>
            </w:r>
          </w:p>
        </w:tc>
        <w:tc>
          <w:tcPr>
            <w:tcW w:w="1020" w:type="dxa"/>
          </w:tcPr>
          <w:p w14:paraId="7F66C1DE" w14:textId="77777777" w:rsidR="005C6C96" w:rsidRPr="001D34C2" w:rsidRDefault="005C6C96" w:rsidP="00182031">
            <w:pPr>
              <w:jc w:val="center"/>
              <w:rPr>
                <w:sz w:val="20"/>
                <w:szCs w:val="20"/>
              </w:rPr>
            </w:pPr>
            <w:r>
              <w:rPr>
                <w:sz w:val="20"/>
                <w:szCs w:val="20"/>
              </w:rPr>
              <w:t>2.9</w:t>
            </w:r>
          </w:p>
        </w:tc>
        <w:tc>
          <w:tcPr>
            <w:tcW w:w="1130" w:type="dxa"/>
          </w:tcPr>
          <w:p w14:paraId="24286958" w14:textId="77777777" w:rsidR="005C6C96" w:rsidRPr="001D34C2" w:rsidRDefault="005C6C96" w:rsidP="00182031">
            <w:pPr>
              <w:jc w:val="center"/>
              <w:rPr>
                <w:sz w:val="20"/>
                <w:szCs w:val="20"/>
              </w:rPr>
            </w:pPr>
            <w:r>
              <w:rPr>
                <w:sz w:val="20"/>
                <w:szCs w:val="20"/>
              </w:rPr>
              <w:t>0.9</w:t>
            </w:r>
          </w:p>
        </w:tc>
        <w:tc>
          <w:tcPr>
            <w:tcW w:w="1130" w:type="dxa"/>
          </w:tcPr>
          <w:p w14:paraId="3D5E2D03" w14:textId="77777777" w:rsidR="005C6C96" w:rsidRPr="001D34C2" w:rsidRDefault="005C6C96" w:rsidP="00182031">
            <w:pPr>
              <w:jc w:val="center"/>
              <w:rPr>
                <w:sz w:val="20"/>
                <w:szCs w:val="20"/>
              </w:rPr>
            </w:pPr>
            <w:r>
              <w:rPr>
                <w:sz w:val="20"/>
                <w:szCs w:val="20"/>
              </w:rPr>
              <w:t>2.7</w:t>
            </w:r>
          </w:p>
        </w:tc>
        <w:tc>
          <w:tcPr>
            <w:tcW w:w="1068" w:type="dxa"/>
          </w:tcPr>
          <w:p w14:paraId="60F18FF9" w14:textId="77777777" w:rsidR="005C6C96" w:rsidRPr="001D34C2" w:rsidRDefault="005C6C96" w:rsidP="00182031">
            <w:pPr>
              <w:jc w:val="center"/>
              <w:rPr>
                <w:sz w:val="20"/>
                <w:szCs w:val="20"/>
              </w:rPr>
            </w:pPr>
            <w:r>
              <w:rPr>
                <w:sz w:val="20"/>
                <w:szCs w:val="20"/>
              </w:rPr>
              <w:t>4.3</w:t>
            </w:r>
          </w:p>
        </w:tc>
        <w:tc>
          <w:tcPr>
            <w:tcW w:w="979" w:type="dxa"/>
          </w:tcPr>
          <w:p w14:paraId="2E2D3307" w14:textId="77777777" w:rsidR="005C6C96" w:rsidRDefault="005C6C96" w:rsidP="00182031">
            <w:pPr>
              <w:jc w:val="center"/>
              <w:rPr>
                <w:sz w:val="20"/>
                <w:szCs w:val="20"/>
              </w:rPr>
            </w:pPr>
            <w:r>
              <w:rPr>
                <w:sz w:val="20"/>
                <w:szCs w:val="20"/>
              </w:rPr>
              <w:t>3.1</w:t>
            </w:r>
          </w:p>
        </w:tc>
      </w:tr>
      <w:tr w:rsidR="005C6C96" w14:paraId="1391B158" w14:textId="77777777" w:rsidTr="00182031">
        <w:tc>
          <w:tcPr>
            <w:tcW w:w="1765" w:type="dxa"/>
          </w:tcPr>
          <w:p w14:paraId="29599DD7" w14:textId="77777777" w:rsidR="005C6C96" w:rsidRPr="001D34C2" w:rsidRDefault="005C6C96" w:rsidP="00182031">
            <w:pPr>
              <w:rPr>
                <w:sz w:val="20"/>
                <w:szCs w:val="20"/>
              </w:rPr>
            </w:pPr>
            <w:r w:rsidRPr="001D34C2">
              <w:rPr>
                <w:sz w:val="20"/>
                <w:szCs w:val="20"/>
              </w:rPr>
              <w:t>RPI (X) September</w:t>
            </w:r>
          </w:p>
        </w:tc>
        <w:tc>
          <w:tcPr>
            <w:tcW w:w="1130" w:type="dxa"/>
          </w:tcPr>
          <w:p w14:paraId="6E0908E2" w14:textId="77777777" w:rsidR="005C6C96" w:rsidRPr="001D34C2" w:rsidRDefault="005C6C96" w:rsidP="00182031">
            <w:pPr>
              <w:jc w:val="center"/>
              <w:rPr>
                <w:sz w:val="20"/>
                <w:szCs w:val="20"/>
              </w:rPr>
            </w:pPr>
            <w:r>
              <w:rPr>
                <w:sz w:val="20"/>
                <w:szCs w:val="20"/>
              </w:rPr>
              <w:t>5.4</w:t>
            </w:r>
          </w:p>
        </w:tc>
        <w:tc>
          <w:tcPr>
            <w:tcW w:w="1020" w:type="dxa"/>
          </w:tcPr>
          <w:p w14:paraId="6BA6C6C0" w14:textId="77777777" w:rsidR="005C6C96" w:rsidRPr="001D34C2" w:rsidRDefault="005C6C96" w:rsidP="00182031">
            <w:pPr>
              <w:jc w:val="center"/>
              <w:rPr>
                <w:sz w:val="20"/>
                <w:szCs w:val="20"/>
              </w:rPr>
            </w:pPr>
            <w:r>
              <w:rPr>
                <w:sz w:val="20"/>
                <w:szCs w:val="20"/>
              </w:rPr>
              <w:t>8.0</w:t>
            </w:r>
          </w:p>
        </w:tc>
        <w:tc>
          <w:tcPr>
            <w:tcW w:w="1020" w:type="dxa"/>
          </w:tcPr>
          <w:p w14:paraId="7823AF4E" w14:textId="77777777" w:rsidR="005C6C96" w:rsidRPr="001D34C2" w:rsidRDefault="005C6C96" w:rsidP="00182031">
            <w:pPr>
              <w:jc w:val="center"/>
              <w:rPr>
                <w:sz w:val="20"/>
                <w:szCs w:val="20"/>
              </w:rPr>
            </w:pPr>
            <w:r>
              <w:rPr>
                <w:sz w:val="20"/>
                <w:szCs w:val="20"/>
              </w:rPr>
              <w:t>2.7</w:t>
            </w:r>
          </w:p>
        </w:tc>
        <w:tc>
          <w:tcPr>
            <w:tcW w:w="1130" w:type="dxa"/>
          </w:tcPr>
          <w:p w14:paraId="0C093169" w14:textId="77777777" w:rsidR="005C6C96" w:rsidRPr="001D34C2" w:rsidRDefault="005C6C96" w:rsidP="00182031">
            <w:pPr>
              <w:jc w:val="center"/>
              <w:rPr>
                <w:sz w:val="20"/>
                <w:szCs w:val="20"/>
              </w:rPr>
            </w:pPr>
            <w:r>
              <w:rPr>
                <w:sz w:val="20"/>
                <w:szCs w:val="20"/>
              </w:rPr>
              <w:t>1.3</w:t>
            </w:r>
          </w:p>
        </w:tc>
        <w:tc>
          <w:tcPr>
            <w:tcW w:w="1130" w:type="dxa"/>
          </w:tcPr>
          <w:p w14:paraId="57B9362D" w14:textId="77777777" w:rsidR="005C6C96" w:rsidRPr="001D34C2" w:rsidRDefault="005C6C96" w:rsidP="00182031">
            <w:pPr>
              <w:jc w:val="center"/>
              <w:rPr>
                <w:sz w:val="20"/>
                <w:szCs w:val="20"/>
              </w:rPr>
            </w:pPr>
            <w:r>
              <w:rPr>
                <w:sz w:val="20"/>
                <w:szCs w:val="20"/>
              </w:rPr>
              <w:t>2.6</w:t>
            </w:r>
          </w:p>
        </w:tc>
        <w:tc>
          <w:tcPr>
            <w:tcW w:w="1068" w:type="dxa"/>
          </w:tcPr>
          <w:p w14:paraId="77603C8D" w14:textId="77777777" w:rsidR="005C6C96" w:rsidRPr="001D34C2" w:rsidRDefault="005C6C96" w:rsidP="00182031">
            <w:pPr>
              <w:jc w:val="center"/>
              <w:rPr>
                <w:sz w:val="20"/>
                <w:szCs w:val="20"/>
              </w:rPr>
            </w:pPr>
            <w:r>
              <w:rPr>
                <w:sz w:val="20"/>
                <w:szCs w:val="20"/>
              </w:rPr>
              <w:t>3.8</w:t>
            </w:r>
          </w:p>
        </w:tc>
        <w:tc>
          <w:tcPr>
            <w:tcW w:w="979" w:type="dxa"/>
          </w:tcPr>
          <w:p w14:paraId="41FFF61E" w14:textId="77777777" w:rsidR="005C6C96" w:rsidRDefault="005C6C96" w:rsidP="00182031">
            <w:pPr>
              <w:jc w:val="center"/>
              <w:rPr>
                <w:sz w:val="20"/>
                <w:szCs w:val="20"/>
              </w:rPr>
            </w:pPr>
            <w:r>
              <w:rPr>
                <w:sz w:val="20"/>
                <w:szCs w:val="20"/>
              </w:rPr>
              <w:t>3.4</w:t>
            </w:r>
          </w:p>
        </w:tc>
      </w:tr>
      <w:tr w:rsidR="005C6C96" w14:paraId="27D244CF" w14:textId="77777777" w:rsidTr="00182031">
        <w:tc>
          <w:tcPr>
            <w:tcW w:w="1765" w:type="dxa"/>
          </w:tcPr>
          <w:p w14:paraId="574D4BA4" w14:textId="77777777" w:rsidR="005C6C96" w:rsidRPr="001D34C2" w:rsidRDefault="005C6C96" w:rsidP="00182031">
            <w:pPr>
              <w:rPr>
                <w:sz w:val="20"/>
                <w:szCs w:val="20"/>
              </w:rPr>
            </w:pPr>
            <w:r>
              <w:rPr>
                <w:sz w:val="20"/>
                <w:szCs w:val="20"/>
              </w:rPr>
              <w:t>RPI (Y) September</w:t>
            </w:r>
          </w:p>
        </w:tc>
        <w:tc>
          <w:tcPr>
            <w:tcW w:w="1130" w:type="dxa"/>
          </w:tcPr>
          <w:p w14:paraId="4B5BC824" w14:textId="77777777" w:rsidR="005C6C96" w:rsidRDefault="005C6C96" w:rsidP="00182031">
            <w:pPr>
              <w:jc w:val="center"/>
              <w:rPr>
                <w:sz w:val="20"/>
                <w:szCs w:val="20"/>
              </w:rPr>
            </w:pPr>
            <w:r>
              <w:rPr>
                <w:sz w:val="20"/>
                <w:szCs w:val="20"/>
              </w:rPr>
              <w:t>5.3</w:t>
            </w:r>
          </w:p>
        </w:tc>
        <w:tc>
          <w:tcPr>
            <w:tcW w:w="1020" w:type="dxa"/>
          </w:tcPr>
          <w:p w14:paraId="1B19E6B2" w14:textId="77777777" w:rsidR="005C6C96" w:rsidRDefault="005C6C96" w:rsidP="00182031">
            <w:pPr>
              <w:jc w:val="center"/>
              <w:rPr>
                <w:sz w:val="20"/>
                <w:szCs w:val="20"/>
              </w:rPr>
            </w:pPr>
            <w:r>
              <w:rPr>
                <w:sz w:val="20"/>
                <w:szCs w:val="20"/>
              </w:rPr>
              <w:t>8.2</w:t>
            </w:r>
          </w:p>
        </w:tc>
        <w:tc>
          <w:tcPr>
            <w:tcW w:w="1020" w:type="dxa"/>
          </w:tcPr>
          <w:p w14:paraId="4BB3F76E" w14:textId="77777777" w:rsidR="005C6C96" w:rsidRDefault="005C6C96" w:rsidP="00182031">
            <w:pPr>
              <w:jc w:val="center"/>
              <w:rPr>
                <w:sz w:val="20"/>
                <w:szCs w:val="20"/>
              </w:rPr>
            </w:pPr>
            <w:r>
              <w:rPr>
                <w:sz w:val="20"/>
                <w:szCs w:val="20"/>
              </w:rPr>
              <w:t>2.7</w:t>
            </w:r>
          </w:p>
        </w:tc>
        <w:tc>
          <w:tcPr>
            <w:tcW w:w="1130" w:type="dxa"/>
          </w:tcPr>
          <w:p w14:paraId="52281CB6" w14:textId="77777777" w:rsidR="005C6C96" w:rsidRDefault="005C6C96" w:rsidP="00182031">
            <w:pPr>
              <w:jc w:val="center"/>
              <w:rPr>
                <w:sz w:val="20"/>
                <w:szCs w:val="20"/>
              </w:rPr>
            </w:pPr>
            <w:r>
              <w:rPr>
                <w:sz w:val="20"/>
                <w:szCs w:val="20"/>
              </w:rPr>
              <w:t>1.0</w:t>
            </w:r>
          </w:p>
        </w:tc>
        <w:tc>
          <w:tcPr>
            <w:tcW w:w="1130" w:type="dxa"/>
          </w:tcPr>
          <w:p w14:paraId="67E26594" w14:textId="77777777" w:rsidR="005C6C96" w:rsidRDefault="005C6C96" w:rsidP="00182031">
            <w:pPr>
              <w:jc w:val="center"/>
              <w:rPr>
                <w:sz w:val="20"/>
                <w:szCs w:val="20"/>
              </w:rPr>
            </w:pPr>
            <w:r>
              <w:rPr>
                <w:sz w:val="20"/>
                <w:szCs w:val="20"/>
              </w:rPr>
              <w:t>2.5</w:t>
            </w:r>
          </w:p>
        </w:tc>
        <w:tc>
          <w:tcPr>
            <w:tcW w:w="1068" w:type="dxa"/>
          </w:tcPr>
          <w:p w14:paraId="735FDB72" w14:textId="77777777" w:rsidR="005C6C96" w:rsidRDefault="005C6C96" w:rsidP="00182031">
            <w:pPr>
              <w:jc w:val="center"/>
              <w:rPr>
                <w:sz w:val="20"/>
                <w:szCs w:val="20"/>
              </w:rPr>
            </w:pPr>
            <w:r>
              <w:rPr>
                <w:sz w:val="20"/>
                <w:szCs w:val="20"/>
              </w:rPr>
              <w:t>3.8</w:t>
            </w:r>
          </w:p>
        </w:tc>
        <w:tc>
          <w:tcPr>
            <w:tcW w:w="979" w:type="dxa"/>
          </w:tcPr>
          <w:p w14:paraId="3F7287D8" w14:textId="77777777" w:rsidR="005C6C96" w:rsidRDefault="005C6C96" w:rsidP="00182031">
            <w:pPr>
              <w:jc w:val="center"/>
              <w:rPr>
                <w:sz w:val="20"/>
                <w:szCs w:val="20"/>
              </w:rPr>
            </w:pPr>
            <w:r>
              <w:rPr>
                <w:sz w:val="20"/>
                <w:szCs w:val="20"/>
              </w:rPr>
              <w:t>3.3</w:t>
            </w:r>
          </w:p>
        </w:tc>
      </w:tr>
    </w:tbl>
    <w:p w14:paraId="48A67CC9" w14:textId="77777777" w:rsidR="005C6C96" w:rsidRPr="00D00B0C" w:rsidRDefault="005C6C96" w:rsidP="005C6C96">
      <w:pPr>
        <w:jc w:val="right"/>
        <w:rPr>
          <w:sz w:val="16"/>
          <w:szCs w:val="16"/>
        </w:rPr>
      </w:pPr>
      <w:r w:rsidRPr="00D00B0C">
        <w:rPr>
          <w:sz w:val="16"/>
          <w:szCs w:val="16"/>
        </w:rPr>
        <w:t>Source - Statistics Jersey web page</w:t>
      </w:r>
    </w:p>
    <w:p w14:paraId="360DFEB7" w14:textId="77777777" w:rsidR="005C6C96" w:rsidRDefault="005C6C96" w:rsidP="005C6C96">
      <w:pPr>
        <w:rPr>
          <w:sz w:val="20"/>
          <w:szCs w:val="20"/>
        </w:rPr>
      </w:pPr>
      <w:r w:rsidRPr="001D34C2">
        <w:rPr>
          <w:sz w:val="20"/>
          <w:szCs w:val="20"/>
        </w:rPr>
        <w:t xml:space="preserve">As the table shows, these indices are very closely </w:t>
      </w:r>
      <w:r>
        <w:rPr>
          <w:sz w:val="20"/>
          <w:szCs w:val="20"/>
        </w:rPr>
        <w:t>aligned f</w:t>
      </w:r>
      <w:r w:rsidRPr="001D34C2">
        <w:rPr>
          <w:sz w:val="20"/>
          <w:szCs w:val="20"/>
        </w:rPr>
        <w:t>or the period 201</w:t>
      </w:r>
      <w:r>
        <w:rPr>
          <w:sz w:val="20"/>
          <w:szCs w:val="20"/>
        </w:rPr>
        <w:t>7</w:t>
      </w:r>
      <w:r w:rsidRPr="001D34C2">
        <w:rPr>
          <w:sz w:val="20"/>
          <w:szCs w:val="20"/>
        </w:rPr>
        <w:t xml:space="preserve"> through 2021</w:t>
      </w:r>
      <w:r>
        <w:rPr>
          <w:sz w:val="20"/>
          <w:szCs w:val="20"/>
        </w:rPr>
        <w:t>. Sometimes RPI is slightly higher than RPI(Y), sometimes slightly lower. Indeed this alignment continues as you go back further. At the time of the pricing review and direction with JRCA, it is apparent that they were considered almost interchangeable. There were discussions (evidenced in the Pricing Review on the JRCA website) about whether RPI or RPI (Y) should form the basis for pricing framework. The planning work for the pricing framework assumed inflation of 3% pa over the 5 year period of the framework.</w:t>
      </w:r>
    </w:p>
    <w:p w14:paraId="51F18833" w14:textId="77777777" w:rsidR="005C6C96" w:rsidRDefault="005C6C96" w:rsidP="005C6C96">
      <w:pPr>
        <w:rPr>
          <w:sz w:val="20"/>
          <w:szCs w:val="20"/>
        </w:rPr>
      </w:pPr>
      <w:r>
        <w:rPr>
          <w:sz w:val="20"/>
          <w:szCs w:val="20"/>
        </w:rPr>
        <w:t xml:space="preserve">It is somewhat ironic that PoJ proposed to the JCRA in 2018 was that RPI(Y) should be used, and only at the last moment switched to supporting RPI. </w:t>
      </w:r>
    </w:p>
    <w:p w14:paraId="3A02DE93" w14:textId="77777777" w:rsidR="005C6C96" w:rsidRDefault="005C6C96" w:rsidP="005C6C96">
      <w:pPr>
        <w:rPr>
          <w:sz w:val="20"/>
          <w:szCs w:val="20"/>
        </w:rPr>
      </w:pPr>
      <w:r>
        <w:rPr>
          <w:sz w:val="20"/>
          <w:szCs w:val="20"/>
        </w:rPr>
        <w:t xml:space="preserve">As all will be aware, inflation rose sharply in 2022 due to the Ukraine war, and then the increases in interest rates in 2023 to tackle this inflation worked through sharply into housing costs, although falling across non-interest rate linked categories. Inflation and interest continues to fall in Q4 2023 and are forecast to fall further into 2024. </w:t>
      </w:r>
    </w:p>
    <w:p w14:paraId="1B218346" w14:textId="77777777" w:rsidR="005C6C96" w:rsidRDefault="005C6C96" w:rsidP="005C6C96">
      <w:pPr>
        <w:rPr>
          <w:sz w:val="20"/>
          <w:szCs w:val="20"/>
        </w:rPr>
      </w:pPr>
      <w:r>
        <w:rPr>
          <w:sz w:val="20"/>
          <w:szCs w:val="20"/>
        </w:rPr>
        <w:t xml:space="preserve">UK CPI stood at 6.7% at the end of September 2023 (c.f. Jersey RPI(Y) of 5.3%) and is forecast to fall to 4.5% at the end of 2023 (source – Jersey Fiscal Policy Panel report November 2023). Jersey RPI(Y) should follow similar trends.  </w:t>
      </w:r>
    </w:p>
    <w:p w14:paraId="6FB5CE0C" w14:textId="77777777" w:rsidR="005C6C96" w:rsidRDefault="00223D6E" w:rsidP="005C6C96">
      <w:pPr>
        <w:rPr>
          <w:sz w:val="20"/>
          <w:szCs w:val="20"/>
        </w:rPr>
      </w:pPr>
      <w:r>
        <w:rPr>
          <w:sz w:val="20"/>
          <w:szCs w:val="20"/>
        </w:rPr>
        <w:t>C</w:t>
      </w:r>
      <w:r w:rsidR="005C6C96">
        <w:rPr>
          <w:sz w:val="20"/>
          <w:szCs w:val="20"/>
        </w:rPr>
        <w:t>umulative increases in fees of 25% in the light of the underlying rate of inflation and the direction of travel of the rate of inflation is inappropriate. Fee increases of 11.1% on 1 January 202</w:t>
      </w:r>
      <w:r w:rsidR="00A24B0C">
        <w:rPr>
          <w:sz w:val="20"/>
          <w:szCs w:val="20"/>
        </w:rPr>
        <w:t>4</w:t>
      </w:r>
      <w:r w:rsidR="005C6C96">
        <w:rPr>
          <w:sz w:val="20"/>
          <w:szCs w:val="20"/>
        </w:rPr>
        <w:t xml:space="preserve"> when the actual underlying rate of inflation is likely to be 4-4.5% is simply an abuse of power. It will add to inflationary pressures on the island when the Government, and its agencies and corporate bodies, should be acting to reduce inflationary pressures. </w:t>
      </w:r>
    </w:p>
    <w:p w14:paraId="2CAE965A" w14:textId="77777777" w:rsidR="00CE6D48" w:rsidRDefault="00CE6D48">
      <w:pPr>
        <w:rPr>
          <w:sz w:val="20"/>
          <w:szCs w:val="20"/>
        </w:rPr>
      </w:pPr>
      <w:r>
        <w:rPr>
          <w:sz w:val="20"/>
          <w:szCs w:val="20"/>
        </w:rPr>
        <w:br w:type="page"/>
      </w:r>
    </w:p>
    <w:p w14:paraId="40CAB511" w14:textId="77777777" w:rsidR="005C6C96" w:rsidRDefault="005C6C96" w:rsidP="005C6C96">
      <w:pPr>
        <w:rPr>
          <w:sz w:val="20"/>
          <w:szCs w:val="20"/>
        </w:rPr>
      </w:pPr>
      <w:r>
        <w:rPr>
          <w:sz w:val="20"/>
          <w:szCs w:val="20"/>
        </w:rPr>
        <w:t>Appendix 2</w:t>
      </w:r>
    </w:p>
    <w:p w14:paraId="3B9113C2" w14:textId="77777777" w:rsidR="005C6C96" w:rsidRPr="001E29E6" w:rsidRDefault="005C6C96" w:rsidP="005C6C96">
      <w:pPr>
        <w:rPr>
          <w:b/>
          <w:sz w:val="20"/>
          <w:szCs w:val="20"/>
        </w:rPr>
      </w:pPr>
      <w:r w:rsidRPr="001E29E6">
        <w:rPr>
          <w:b/>
          <w:sz w:val="20"/>
          <w:szCs w:val="20"/>
        </w:rPr>
        <w:t xml:space="preserve">Ports of Jersey financial reports </w:t>
      </w:r>
      <w:r w:rsidRPr="001E29E6">
        <w:rPr>
          <w:b/>
          <w:sz w:val="20"/>
          <w:szCs w:val="20"/>
        </w:rPr>
        <w:tab/>
      </w:r>
    </w:p>
    <w:tbl>
      <w:tblPr>
        <w:tblStyle w:val="TableGrid"/>
        <w:tblW w:w="0" w:type="auto"/>
        <w:tblLook w:val="04A0" w:firstRow="1" w:lastRow="0" w:firstColumn="1" w:lastColumn="0" w:noHBand="0" w:noVBand="1"/>
      </w:tblPr>
      <w:tblGrid>
        <w:gridCol w:w="1951"/>
        <w:gridCol w:w="1276"/>
        <w:gridCol w:w="1134"/>
        <w:gridCol w:w="1134"/>
        <w:gridCol w:w="1276"/>
        <w:gridCol w:w="1275"/>
        <w:gridCol w:w="1196"/>
      </w:tblGrid>
      <w:tr w:rsidR="005C6C96" w14:paraId="0A1988DA" w14:textId="77777777" w:rsidTr="00182031">
        <w:tc>
          <w:tcPr>
            <w:tcW w:w="1951" w:type="dxa"/>
          </w:tcPr>
          <w:p w14:paraId="47AFD75D" w14:textId="77777777" w:rsidR="005C6C96" w:rsidRDefault="005C6C96" w:rsidP="00182031">
            <w:pPr>
              <w:rPr>
                <w:sz w:val="20"/>
                <w:szCs w:val="20"/>
              </w:rPr>
            </w:pPr>
          </w:p>
        </w:tc>
        <w:tc>
          <w:tcPr>
            <w:tcW w:w="1276" w:type="dxa"/>
          </w:tcPr>
          <w:p w14:paraId="3FE5D51D" w14:textId="77777777" w:rsidR="005C6C96" w:rsidRPr="00004CFB" w:rsidRDefault="005C6C96" w:rsidP="00182031">
            <w:pPr>
              <w:jc w:val="center"/>
              <w:rPr>
                <w:b/>
                <w:sz w:val="20"/>
                <w:szCs w:val="20"/>
              </w:rPr>
            </w:pPr>
            <w:r w:rsidRPr="00004CFB">
              <w:rPr>
                <w:b/>
                <w:sz w:val="20"/>
                <w:szCs w:val="20"/>
              </w:rPr>
              <w:t>2023</w:t>
            </w:r>
          </w:p>
          <w:p w14:paraId="6F2D9A91" w14:textId="77777777" w:rsidR="005C6C96" w:rsidRPr="00004CFB" w:rsidRDefault="005C6C96" w:rsidP="00182031">
            <w:pPr>
              <w:jc w:val="center"/>
              <w:rPr>
                <w:b/>
                <w:sz w:val="20"/>
                <w:szCs w:val="20"/>
              </w:rPr>
            </w:pPr>
            <w:r w:rsidRPr="00004CFB">
              <w:rPr>
                <w:b/>
                <w:sz w:val="20"/>
                <w:szCs w:val="20"/>
              </w:rPr>
              <w:t>£m</w:t>
            </w:r>
          </w:p>
        </w:tc>
        <w:tc>
          <w:tcPr>
            <w:tcW w:w="1134" w:type="dxa"/>
          </w:tcPr>
          <w:p w14:paraId="438F8F22" w14:textId="77777777" w:rsidR="005C6C96" w:rsidRPr="00004CFB" w:rsidRDefault="005C6C96" w:rsidP="00182031">
            <w:pPr>
              <w:jc w:val="center"/>
              <w:rPr>
                <w:b/>
                <w:sz w:val="20"/>
                <w:szCs w:val="20"/>
              </w:rPr>
            </w:pPr>
            <w:r w:rsidRPr="00004CFB">
              <w:rPr>
                <w:b/>
                <w:sz w:val="20"/>
                <w:szCs w:val="20"/>
              </w:rPr>
              <w:t>2022</w:t>
            </w:r>
          </w:p>
          <w:p w14:paraId="7572D8E6" w14:textId="77777777" w:rsidR="005C6C96" w:rsidRPr="00004CFB" w:rsidRDefault="005C6C96" w:rsidP="00182031">
            <w:pPr>
              <w:jc w:val="center"/>
              <w:rPr>
                <w:b/>
                <w:sz w:val="20"/>
                <w:szCs w:val="20"/>
              </w:rPr>
            </w:pPr>
            <w:r w:rsidRPr="00004CFB">
              <w:rPr>
                <w:b/>
                <w:sz w:val="20"/>
                <w:szCs w:val="20"/>
              </w:rPr>
              <w:t>£m</w:t>
            </w:r>
          </w:p>
        </w:tc>
        <w:tc>
          <w:tcPr>
            <w:tcW w:w="1134" w:type="dxa"/>
          </w:tcPr>
          <w:p w14:paraId="51F7EFAE" w14:textId="77777777" w:rsidR="005C6C96" w:rsidRPr="00004CFB" w:rsidRDefault="005C6C96" w:rsidP="00182031">
            <w:pPr>
              <w:jc w:val="center"/>
              <w:rPr>
                <w:b/>
                <w:sz w:val="20"/>
                <w:szCs w:val="20"/>
              </w:rPr>
            </w:pPr>
            <w:r w:rsidRPr="00004CFB">
              <w:rPr>
                <w:b/>
                <w:sz w:val="20"/>
                <w:szCs w:val="20"/>
              </w:rPr>
              <w:t>2021</w:t>
            </w:r>
          </w:p>
          <w:p w14:paraId="2FB2D76E" w14:textId="77777777" w:rsidR="005C6C96" w:rsidRPr="00004CFB" w:rsidRDefault="005C6C96" w:rsidP="00182031">
            <w:pPr>
              <w:jc w:val="center"/>
              <w:rPr>
                <w:b/>
                <w:sz w:val="20"/>
                <w:szCs w:val="20"/>
              </w:rPr>
            </w:pPr>
            <w:r w:rsidRPr="00004CFB">
              <w:rPr>
                <w:b/>
                <w:sz w:val="20"/>
                <w:szCs w:val="20"/>
              </w:rPr>
              <w:t>£m</w:t>
            </w:r>
          </w:p>
        </w:tc>
        <w:tc>
          <w:tcPr>
            <w:tcW w:w="1276" w:type="dxa"/>
          </w:tcPr>
          <w:p w14:paraId="7AFF5C0B" w14:textId="77777777" w:rsidR="005C6C96" w:rsidRPr="00004CFB" w:rsidRDefault="005C6C96" w:rsidP="00182031">
            <w:pPr>
              <w:jc w:val="center"/>
              <w:rPr>
                <w:b/>
                <w:sz w:val="20"/>
                <w:szCs w:val="20"/>
              </w:rPr>
            </w:pPr>
            <w:r w:rsidRPr="00004CFB">
              <w:rPr>
                <w:b/>
                <w:sz w:val="20"/>
                <w:szCs w:val="20"/>
              </w:rPr>
              <w:t>2020</w:t>
            </w:r>
          </w:p>
          <w:p w14:paraId="317AFDF8" w14:textId="77777777" w:rsidR="005C6C96" w:rsidRPr="00004CFB" w:rsidRDefault="005C6C96" w:rsidP="00182031">
            <w:pPr>
              <w:jc w:val="center"/>
              <w:rPr>
                <w:b/>
                <w:sz w:val="20"/>
                <w:szCs w:val="20"/>
              </w:rPr>
            </w:pPr>
            <w:r w:rsidRPr="00004CFB">
              <w:rPr>
                <w:b/>
                <w:sz w:val="20"/>
                <w:szCs w:val="20"/>
              </w:rPr>
              <w:t>£m</w:t>
            </w:r>
          </w:p>
        </w:tc>
        <w:tc>
          <w:tcPr>
            <w:tcW w:w="1275" w:type="dxa"/>
          </w:tcPr>
          <w:p w14:paraId="566DE331" w14:textId="77777777" w:rsidR="005C6C96" w:rsidRPr="00004CFB" w:rsidRDefault="005C6C96" w:rsidP="00182031">
            <w:pPr>
              <w:jc w:val="center"/>
              <w:rPr>
                <w:b/>
                <w:sz w:val="20"/>
                <w:szCs w:val="20"/>
              </w:rPr>
            </w:pPr>
            <w:r w:rsidRPr="00004CFB">
              <w:rPr>
                <w:b/>
                <w:sz w:val="20"/>
                <w:szCs w:val="20"/>
              </w:rPr>
              <w:t>2019</w:t>
            </w:r>
          </w:p>
          <w:p w14:paraId="50B1AF4F" w14:textId="77777777" w:rsidR="005C6C96" w:rsidRPr="00004CFB" w:rsidRDefault="005C6C96" w:rsidP="00182031">
            <w:pPr>
              <w:jc w:val="center"/>
              <w:rPr>
                <w:b/>
                <w:sz w:val="20"/>
                <w:szCs w:val="20"/>
              </w:rPr>
            </w:pPr>
            <w:r w:rsidRPr="00004CFB">
              <w:rPr>
                <w:b/>
                <w:sz w:val="20"/>
                <w:szCs w:val="20"/>
              </w:rPr>
              <w:t>£m</w:t>
            </w:r>
          </w:p>
        </w:tc>
        <w:tc>
          <w:tcPr>
            <w:tcW w:w="1196" w:type="dxa"/>
          </w:tcPr>
          <w:p w14:paraId="4B9F41BD" w14:textId="77777777" w:rsidR="005C6C96" w:rsidRPr="00004CFB" w:rsidRDefault="005C6C96" w:rsidP="00182031">
            <w:pPr>
              <w:jc w:val="center"/>
              <w:rPr>
                <w:b/>
                <w:sz w:val="20"/>
                <w:szCs w:val="20"/>
              </w:rPr>
            </w:pPr>
            <w:r w:rsidRPr="00004CFB">
              <w:rPr>
                <w:b/>
                <w:sz w:val="20"/>
                <w:szCs w:val="20"/>
              </w:rPr>
              <w:t>2018</w:t>
            </w:r>
          </w:p>
          <w:p w14:paraId="37A9D9E9" w14:textId="77777777" w:rsidR="005C6C96" w:rsidRPr="00004CFB" w:rsidRDefault="005C6C96" w:rsidP="00182031">
            <w:pPr>
              <w:jc w:val="center"/>
              <w:rPr>
                <w:b/>
                <w:sz w:val="20"/>
                <w:szCs w:val="20"/>
              </w:rPr>
            </w:pPr>
            <w:r w:rsidRPr="00004CFB">
              <w:rPr>
                <w:b/>
                <w:sz w:val="20"/>
                <w:szCs w:val="20"/>
              </w:rPr>
              <w:t>£m</w:t>
            </w:r>
          </w:p>
        </w:tc>
      </w:tr>
      <w:tr w:rsidR="005C6C96" w14:paraId="20060D20" w14:textId="77777777" w:rsidTr="00182031">
        <w:tc>
          <w:tcPr>
            <w:tcW w:w="1951" w:type="dxa"/>
          </w:tcPr>
          <w:p w14:paraId="10A3D86F" w14:textId="77777777" w:rsidR="005C6C96" w:rsidRDefault="005C6C96" w:rsidP="00182031">
            <w:pPr>
              <w:rPr>
                <w:sz w:val="20"/>
                <w:szCs w:val="20"/>
              </w:rPr>
            </w:pPr>
            <w:r>
              <w:rPr>
                <w:sz w:val="20"/>
                <w:szCs w:val="20"/>
              </w:rPr>
              <w:t xml:space="preserve">Marina revenues     </w:t>
            </w:r>
          </w:p>
        </w:tc>
        <w:tc>
          <w:tcPr>
            <w:tcW w:w="1276" w:type="dxa"/>
          </w:tcPr>
          <w:p w14:paraId="78B2C781" w14:textId="77777777" w:rsidR="005C6C96" w:rsidRDefault="005C6C96" w:rsidP="00182031">
            <w:pPr>
              <w:jc w:val="center"/>
              <w:rPr>
                <w:sz w:val="20"/>
                <w:szCs w:val="20"/>
              </w:rPr>
            </w:pPr>
            <w:r>
              <w:rPr>
                <w:sz w:val="20"/>
                <w:szCs w:val="20"/>
              </w:rPr>
              <w:t>n/a</w:t>
            </w:r>
          </w:p>
        </w:tc>
        <w:tc>
          <w:tcPr>
            <w:tcW w:w="1134" w:type="dxa"/>
          </w:tcPr>
          <w:p w14:paraId="7D9C8E01" w14:textId="77777777" w:rsidR="005C6C96" w:rsidRDefault="005C6C96" w:rsidP="00182031">
            <w:pPr>
              <w:jc w:val="center"/>
              <w:rPr>
                <w:sz w:val="20"/>
                <w:szCs w:val="20"/>
              </w:rPr>
            </w:pPr>
            <w:r>
              <w:rPr>
                <w:sz w:val="20"/>
                <w:szCs w:val="20"/>
              </w:rPr>
              <w:t>4.3</w:t>
            </w:r>
          </w:p>
        </w:tc>
        <w:tc>
          <w:tcPr>
            <w:tcW w:w="1134" w:type="dxa"/>
          </w:tcPr>
          <w:p w14:paraId="7A00BD29" w14:textId="77777777" w:rsidR="005C6C96" w:rsidRDefault="005C6C96" w:rsidP="00182031">
            <w:pPr>
              <w:jc w:val="center"/>
              <w:rPr>
                <w:sz w:val="20"/>
                <w:szCs w:val="20"/>
              </w:rPr>
            </w:pPr>
            <w:r>
              <w:rPr>
                <w:sz w:val="20"/>
                <w:szCs w:val="20"/>
              </w:rPr>
              <w:t>3.9</w:t>
            </w:r>
          </w:p>
        </w:tc>
        <w:tc>
          <w:tcPr>
            <w:tcW w:w="1276" w:type="dxa"/>
          </w:tcPr>
          <w:p w14:paraId="0965D764" w14:textId="77777777" w:rsidR="005C6C96" w:rsidRDefault="005C6C96" w:rsidP="00182031">
            <w:pPr>
              <w:jc w:val="center"/>
              <w:rPr>
                <w:sz w:val="20"/>
                <w:szCs w:val="20"/>
              </w:rPr>
            </w:pPr>
            <w:r>
              <w:rPr>
                <w:sz w:val="20"/>
                <w:szCs w:val="20"/>
              </w:rPr>
              <w:t>3.8</w:t>
            </w:r>
          </w:p>
        </w:tc>
        <w:tc>
          <w:tcPr>
            <w:tcW w:w="1275" w:type="dxa"/>
          </w:tcPr>
          <w:p w14:paraId="2304D6CB" w14:textId="77777777" w:rsidR="005C6C96" w:rsidRDefault="005C6C96" w:rsidP="00182031">
            <w:pPr>
              <w:jc w:val="center"/>
              <w:rPr>
                <w:sz w:val="20"/>
                <w:szCs w:val="20"/>
              </w:rPr>
            </w:pPr>
            <w:r>
              <w:rPr>
                <w:sz w:val="20"/>
                <w:szCs w:val="20"/>
              </w:rPr>
              <w:t>4.0</w:t>
            </w:r>
          </w:p>
        </w:tc>
        <w:tc>
          <w:tcPr>
            <w:tcW w:w="1196" w:type="dxa"/>
          </w:tcPr>
          <w:p w14:paraId="0BB0FDD2" w14:textId="77777777" w:rsidR="005C6C96" w:rsidRDefault="005C6C96" w:rsidP="00182031">
            <w:pPr>
              <w:jc w:val="center"/>
              <w:rPr>
                <w:sz w:val="20"/>
                <w:szCs w:val="20"/>
              </w:rPr>
            </w:pPr>
            <w:r>
              <w:rPr>
                <w:sz w:val="20"/>
                <w:szCs w:val="20"/>
              </w:rPr>
              <w:t>3.5</w:t>
            </w:r>
          </w:p>
        </w:tc>
      </w:tr>
      <w:tr w:rsidR="005C6C96" w14:paraId="7283BB50" w14:textId="77777777" w:rsidTr="00182031">
        <w:tc>
          <w:tcPr>
            <w:tcW w:w="1951" w:type="dxa"/>
          </w:tcPr>
          <w:p w14:paraId="23324211" w14:textId="77777777" w:rsidR="005C6C96" w:rsidRDefault="005C6C96" w:rsidP="00182031">
            <w:pPr>
              <w:rPr>
                <w:sz w:val="20"/>
                <w:szCs w:val="20"/>
              </w:rPr>
            </w:pPr>
            <w:r>
              <w:rPr>
                <w:sz w:val="20"/>
                <w:szCs w:val="20"/>
              </w:rPr>
              <w:t>Total PoJ revenues</w:t>
            </w:r>
          </w:p>
        </w:tc>
        <w:tc>
          <w:tcPr>
            <w:tcW w:w="1276" w:type="dxa"/>
          </w:tcPr>
          <w:p w14:paraId="5A1D5DEA" w14:textId="77777777" w:rsidR="005C6C96" w:rsidRDefault="005C6C96" w:rsidP="00182031">
            <w:pPr>
              <w:jc w:val="center"/>
              <w:rPr>
                <w:sz w:val="20"/>
                <w:szCs w:val="20"/>
              </w:rPr>
            </w:pPr>
            <w:r>
              <w:rPr>
                <w:sz w:val="20"/>
                <w:szCs w:val="20"/>
              </w:rPr>
              <w:t>n/a</w:t>
            </w:r>
          </w:p>
        </w:tc>
        <w:tc>
          <w:tcPr>
            <w:tcW w:w="1134" w:type="dxa"/>
          </w:tcPr>
          <w:p w14:paraId="33A8CEBF" w14:textId="77777777" w:rsidR="005C6C96" w:rsidRDefault="005C6C96" w:rsidP="00182031">
            <w:pPr>
              <w:jc w:val="center"/>
              <w:rPr>
                <w:sz w:val="20"/>
                <w:szCs w:val="20"/>
              </w:rPr>
            </w:pPr>
            <w:r>
              <w:rPr>
                <w:sz w:val="20"/>
                <w:szCs w:val="20"/>
              </w:rPr>
              <w:t>45.5</w:t>
            </w:r>
          </w:p>
        </w:tc>
        <w:tc>
          <w:tcPr>
            <w:tcW w:w="1134" w:type="dxa"/>
          </w:tcPr>
          <w:p w14:paraId="6E104F13" w14:textId="77777777" w:rsidR="005C6C96" w:rsidRDefault="005C6C96" w:rsidP="00182031">
            <w:pPr>
              <w:jc w:val="center"/>
              <w:rPr>
                <w:sz w:val="20"/>
                <w:szCs w:val="20"/>
              </w:rPr>
            </w:pPr>
            <w:r>
              <w:rPr>
                <w:sz w:val="20"/>
                <w:szCs w:val="20"/>
              </w:rPr>
              <w:t>36.2</w:t>
            </w:r>
          </w:p>
        </w:tc>
        <w:tc>
          <w:tcPr>
            <w:tcW w:w="1276" w:type="dxa"/>
          </w:tcPr>
          <w:p w14:paraId="02B67601" w14:textId="77777777" w:rsidR="005C6C96" w:rsidRDefault="005C6C96" w:rsidP="00182031">
            <w:pPr>
              <w:jc w:val="center"/>
              <w:rPr>
                <w:sz w:val="20"/>
                <w:szCs w:val="20"/>
              </w:rPr>
            </w:pPr>
            <w:r>
              <w:rPr>
                <w:sz w:val="20"/>
                <w:szCs w:val="20"/>
              </w:rPr>
              <w:t>36.2</w:t>
            </w:r>
          </w:p>
        </w:tc>
        <w:tc>
          <w:tcPr>
            <w:tcW w:w="1275" w:type="dxa"/>
          </w:tcPr>
          <w:p w14:paraId="2CD9BFA2" w14:textId="77777777" w:rsidR="005C6C96" w:rsidRDefault="005C6C96" w:rsidP="00182031">
            <w:pPr>
              <w:jc w:val="center"/>
              <w:rPr>
                <w:sz w:val="20"/>
                <w:szCs w:val="20"/>
              </w:rPr>
            </w:pPr>
            <w:r>
              <w:rPr>
                <w:sz w:val="20"/>
                <w:szCs w:val="20"/>
              </w:rPr>
              <w:t>48.7</w:t>
            </w:r>
          </w:p>
        </w:tc>
        <w:tc>
          <w:tcPr>
            <w:tcW w:w="1196" w:type="dxa"/>
          </w:tcPr>
          <w:p w14:paraId="38997755" w14:textId="77777777" w:rsidR="005C6C96" w:rsidRDefault="005C6C96" w:rsidP="00182031">
            <w:pPr>
              <w:jc w:val="center"/>
              <w:rPr>
                <w:sz w:val="20"/>
                <w:szCs w:val="20"/>
              </w:rPr>
            </w:pPr>
            <w:r>
              <w:rPr>
                <w:sz w:val="20"/>
                <w:szCs w:val="20"/>
              </w:rPr>
              <w:t>47.6</w:t>
            </w:r>
          </w:p>
        </w:tc>
      </w:tr>
      <w:tr w:rsidR="005C6C96" w14:paraId="637143BF" w14:textId="77777777" w:rsidTr="00182031">
        <w:tc>
          <w:tcPr>
            <w:tcW w:w="1951" w:type="dxa"/>
          </w:tcPr>
          <w:p w14:paraId="42B5D82F" w14:textId="77777777" w:rsidR="005C6C96" w:rsidRDefault="005C6C96" w:rsidP="00182031">
            <w:pPr>
              <w:rPr>
                <w:sz w:val="20"/>
                <w:szCs w:val="20"/>
              </w:rPr>
            </w:pPr>
            <w:r>
              <w:rPr>
                <w:sz w:val="20"/>
                <w:szCs w:val="20"/>
              </w:rPr>
              <w:t>Net Profit/(loss)</w:t>
            </w:r>
          </w:p>
        </w:tc>
        <w:tc>
          <w:tcPr>
            <w:tcW w:w="1276" w:type="dxa"/>
          </w:tcPr>
          <w:p w14:paraId="5533611C" w14:textId="77777777" w:rsidR="005C6C96" w:rsidRDefault="005C6C96" w:rsidP="00182031">
            <w:pPr>
              <w:jc w:val="center"/>
              <w:rPr>
                <w:sz w:val="20"/>
                <w:szCs w:val="20"/>
              </w:rPr>
            </w:pPr>
            <w:r>
              <w:rPr>
                <w:sz w:val="20"/>
                <w:szCs w:val="20"/>
              </w:rPr>
              <w:t>n/a</w:t>
            </w:r>
          </w:p>
        </w:tc>
        <w:tc>
          <w:tcPr>
            <w:tcW w:w="1134" w:type="dxa"/>
          </w:tcPr>
          <w:p w14:paraId="2F214770" w14:textId="77777777" w:rsidR="005C6C96" w:rsidRDefault="005C6C96" w:rsidP="00182031">
            <w:pPr>
              <w:jc w:val="center"/>
              <w:rPr>
                <w:sz w:val="20"/>
                <w:szCs w:val="20"/>
              </w:rPr>
            </w:pPr>
            <w:r>
              <w:rPr>
                <w:sz w:val="20"/>
                <w:szCs w:val="20"/>
              </w:rPr>
              <w:t>3.4</w:t>
            </w:r>
          </w:p>
        </w:tc>
        <w:tc>
          <w:tcPr>
            <w:tcW w:w="1134" w:type="dxa"/>
          </w:tcPr>
          <w:p w14:paraId="2ABE6C7B" w14:textId="77777777" w:rsidR="005C6C96" w:rsidRDefault="005C6C96" w:rsidP="00182031">
            <w:pPr>
              <w:jc w:val="center"/>
              <w:rPr>
                <w:sz w:val="20"/>
                <w:szCs w:val="20"/>
              </w:rPr>
            </w:pPr>
            <w:r>
              <w:rPr>
                <w:sz w:val="20"/>
                <w:szCs w:val="20"/>
              </w:rPr>
              <w:t>(5.0)</w:t>
            </w:r>
          </w:p>
        </w:tc>
        <w:tc>
          <w:tcPr>
            <w:tcW w:w="1276" w:type="dxa"/>
          </w:tcPr>
          <w:p w14:paraId="66546786" w14:textId="77777777" w:rsidR="005C6C96" w:rsidRDefault="005C6C96" w:rsidP="00182031">
            <w:pPr>
              <w:jc w:val="center"/>
              <w:rPr>
                <w:sz w:val="20"/>
                <w:szCs w:val="20"/>
              </w:rPr>
            </w:pPr>
            <w:r>
              <w:rPr>
                <w:sz w:val="20"/>
                <w:szCs w:val="20"/>
              </w:rPr>
              <w:t>(5.9)</w:t>
            </w:r>
          </w:p>
        </w:tc>
        <w:tc>
          <w:tcPr>
            <w:tcW w:w="1275" w:type="dxa"/>
          </w:tcPr>
          <w:p w14:paraId="4F146C66" w14:textId="77777777" w:rsidR="005C6C96" w:rsidRDefault="005C6C96" w:rsidP="00182031">
            <w:pPr>
              <w:jc w:val="center"/>
              <w:rPr>
                <w:sz w:val="20"/>
                <w:szCs w:val="20"/>
              </w:rPr>
            </w:pPr>
            <w:r>
              <w:rPr>
                <w:sz w:val="20"/>
                <w:szCs w:val="20"/>
              </w:rPr>
              <w:t>5.3</w:t>
            </w:r>
          </w:p>
        </w:tc>
        <w:tc>
          <w:tcPr>
            <w:tcW w:w="1196" w:type="dxa"/>
          </w:tcPr>
          <w:p w14:paraId="5D8F7466" w14:textId="77777777" w:rsidR="005C6C96" w:rsidRDefault="005C6C96" w:rsidP="00182031">
            <w:pPr>
              <w:jc w:val="center"/>
              <w:rPr>
                <w:sz w:val="20"/>
                <w:szCs w:val="20"/>
              </w:rPr>
            </w:pPr>
            <w:r>
              <w:rPr>
                <w:sz w:val="20"/>
                <w:szCs w:val="20"/>
              </w:rPr>
              <w:t>5.6</w:t>
            </w:r>
          </w:p>
        </w:tc>
      </w:tr>
    </w:tbl>
    <w:p w14:paraId="0B40D64C" w14:textId="77777777" w:rsidR="005C6C96" w:rsidRPr="00471247" w:rsidRDefault="005C6C96" w:rsidP="005C6C96">
      <w:pPr>
        <w:jc w:val="right"/>
        <w:rPr>
          <w:sz w:val="16"/>
          <w:szCs w:val="16"/>
        </w:rPr>
      </w:pPr>
      <w:r w:rsidRPr="00471247">
        <w:rPr>
          <w:sz w:val="16"/>
          <w:szCs w:val="16"/>
        </w:rPr>
        <w:t xml:space="preserve">Source PoJ annual report  </w:t>
      </w:r>
    </w:p>
    <w:p w14:paraId="5169E844" w14:textId="77777777" w:rsidR="005C6C96" w:rsidRDefault="005C6C96" w:rsidP="005C6C96">
      <w:pPr>
        <w:rPr>
          <w:sz w:val="20"/>
          <w:szCs w:val="20"/>
        </w:rPr>
      </w:pPr>
      <w:r>
        <w:rPr>
          <w:sz w:val="20"/>
          <w:szCs w:val="20"/>
        </w:rPr>
        <w:t xml:space="preserve">Whilst 2023 figures are not available to the public, they will be known to management given we are 11 months into the year. We </w:t>
      </w:r>
      <w:r w:rsidR="00CE6D48">
        <w:rPr>
          <w:sz w:val="20"/>
          <w:szCs w:val="20"/>
        </w:rPr>
        <w:t>anticipate</w:t>
      </w:r>
      <w:r>
        <w:rPr>
          <w:sz w:val="20"/>
          <w:szCs w:val="20"/>
        </w:rPr>
        <w:t xml:space="preserve"> that marina revenues will be around £5.0m based on 2022 numbers, fee uplift and increased numbers of visitors.</w:t>
      </w:r>
    </w:p>
    <w:p w14:paraId="67005D8E" w14:textId="77777777" w:rsidR="005C6C96" w:rsidRDefault="005C6C96" w:rsidP="005C6C96">
      <w:pPr>
        <w:rPr>
          <w:sz w:val="20"/>
          <w:szCs w:val="20"/>
        </w:rPr>
      </w:pPr>
      <w:r>
        <w:rPr>
          <w:sz w:val="20"/>
          <w:szCs w:val="20"/>
        </w:rPr>
        <w:t xml:space="preserve">We are not in a position to project total PoJ revenues or net profit, but would expect them to exceed 2018 and 2019 figures. </w:t>
      </w:r>
    </w:p>
    <w:p w14:paraId="1411FD29" w14:textId="77777777" w:rsidR="005C6C96" w:rsidRDefault="005C6C96" w:rsidP="005C6C96">
      <w:pPr>
        <w:rPr>
          <w:sz w:val="20"/>
          <w:szCs w:val="20"/>
        </w:rPr>
      </w:pPr>
      <w:r>
        <w:rPr>
          <w:sz w:val="20"/>
          <w:szCs w:val="20"/>
        </w:rPr>
        <w:t xml:space="preserve">It is clear that marinas contributes less than 10% of PoJ revenues, and the impact of the difference between the proposed 11.1% increase and a more reasonable increase of say 5%, would reflect about £250,000. This is pretty immaterial in the overall impact on PoJ overall revenue terms, indeed it is less than the salary of the CEO. </w:t>
      </w:r>
    </w:p>
    <w:p w14:paraId="1129C8F1" w14:textId="77777777" w:rsidR="005C6C96" w:rsidRDefault="005C6C96" w:rsidP="005C6C96">
      <w:pPr>
        <w:rPr>
          <w:sz w:val="20"/>
          <w:szCs w:val="20"/>
        </w:rPr>
      </w:pPr>
      <w:r>
        <w:rPr>
          <w:sz w:val="20"/>
          <w:szCs w:val="20"/>
        </w:rPr>
        <w:t xml:space="preserve">The headline we draw is that is simply not true to say it is necessary to increase berthing and mooring fees to recover to pre-pandemic levels. The provision of berthing and mooring to the local boat owning population has continued to grow its revenue, it has already recovered to be ahead of pre-pandemic levels, and is likely to be well ahead of that for 2023. It is completely inappropriate to try to use this customer group to cross- subsidise the commercial business of the airport and harbour. </w:t>
      </w:r>
    </w:p>
    <w:p w14:paraId="0B0E7E20" w14:textId="77777777" w:rsidR="005C6C96" w:rsidRPr="005C6C96" w:rsidRDefault="005C6C96" w:rsidP="005C6C96">
      <w:pPr>
        <w:rPr>
          <w:sz w:val="20"/>
          <w:szCs w:val="20"/>
        </w:rPr>
      </w:pPr>
      <w:r>
        <w:rPr>
          <w:sz w:val="20"/>
          <w:szCs w:val="20"/>
        </w:rPr>
        <w:t>Assuming total marinas revenue is around £5m</w:t>
      </w:r>
      <w:r w:rsidR="00CE6D48">
        <w:rPr>
          <w:sz w:val="20"/>
          <w:szCs w:val="20"/>
        </w:rPr>
        <w:t xml:space="preserve"> for 2023</w:t>
      </w:r>
      <w:r>
        <w:rPr>
          <w:sz w:val="20"/>
          <w:szCs w:val="20"/>
        </w:rPr>
        <w:t xml:space="preserve">, which figure includes the hoist, boat park, visiting yachts fees, and fishing boats, the core annual berthing fees are likely to </w:t>
      </w:r>
      <w:r w:rsidR="00CE6D48">
        <w:rPr>
          <w:sz w:val="20"/>
          <w:szCs w:val="20"/>
        </w:rPr>
        <w:t>be in the range £3.5-4m</w:t>
      </w:r>
      <w:r>
        <w:rPr>
          <w:sz w:val="20"/>
          <w:szCs w:val="20"/>
        </w:rPr>
        <w:t xml:space="preserve">. This means the revenue generated by the 11.1% uplift is likely to be in the range £390k to £445k. </w:t>
      </w:r>
      <w:r w:rsidR="00620F4D">
        <w:rPr>
          <w:sz w:val="20"/>
          <w:szCs w:val="20"/>
        </w:rPr>
        <w:t xml:space="preserve">Assume a midpoint of say £425k.  </w:t>
      </w:r>
      <w:r>
        <w:rPr>
          <w:sz w:val="20"/>
          <w:szCs w:val="20"/>
        </w:rPr>
        <w:t xml:space="preserve">Limiting the fee increase to 5% would have </w:t>
      </w:r>
      <w:r w:rsidR="00620F4D">
        <w:rPr>
          <w:sz w:val="20"/>
          <w:szCs w:val="20"/>
        </w:rPr>
        <w:t xml:space="preserve">an adverse impact of revenue of around £235k. </w:t>
      </w:r>
      <w:r>
        <w:rPr>
          <w:sz w:val="20"/>
          <w:szCs w:val="20"/>
        </w:rPr>
        <w:t xml:space="preserve">  </w:t>
      </w:r>
    </w:p>
    <w:sectPr w:rsidR="005C6C96" w:rsidRPr="005C6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C77"/>
    <w:multiLevelType w:val="hybridMultilevel"/>
    <w:tmpl w:val="AE903946"/>
    <w:lvl w:ilvl="0" w:tplc="CB9EFC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930BAB"/>
    <w:multiLevelType w:val="hybridMultilevel"/>
    <w:tmpl w:val="A8A8C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68655A"/>
    <w:multiLevelType w:val="hybridMultilevel"/>
    <w:tmpl w:val="0B12F3B0"/>
    <w:lvl w:ilvl="0" w:tplc="35F2F90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F06CA"/>
    <w:multiLevelType w:val="hybridMultilevel"/>
    <w:tmpl w:val="61ECF3BC"/>
    <w:lvl w:ilvl="0" w:tplc="1DBE5C8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6809E4"/>
    <w:multiLevelType w:val="hybridMultilevel"/>
    <w:tmpl w:val="650CF788"/>
    <w:lvl w:ilvl="0" w:tplc="A082453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8D4835"/>
    <w:multiLevelType w:val="hybridMultilevel"/>
    <w:tmpl w:val="E3641916"/>
    <w:lvl w:ilvl="0" w:tplc="A9A0D9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E6"/>
    <w:rsid w:val="00140175"/>
    <w:rsid w:val="00223D6E"/>
    <w:rsid w:val="00283B94"/>
    <w:rsid w:val="0034142C"/>
    <w:rsid w:val="003C3E36"/>
    <w:rsid w:val="003E4E61"/>
    <w:rsid w:val="004203DE"/>
    <w:rsid w:val="004F5C73"/>
    <w:rsid w:val="005C6C96"/>
    <w:rsid w:val="00620F4D"/>
    <w:rsid w:val="006F1168"/>
    <w:rsid w:val="006F616F"/>
    <w:rsid w:val="00746C6B"/>
    <w:rsid w:val="007E6021"/>
    <w:rsid w:val="00847A4B"/>
    <w:rsid w:val="00982DD7"/>
    <w:rsid w:val="00A15C62"/>
    <w:rsid w:val="00A24B0C"/>
    <w:rsid w:val="00A523FD"/>
    <w:rsid w:val="00B72BE6"/>
    <w:rsid w:val="00BD16A8"/>
    <w:rsid w:val="00C8700A"/>
    <w:rsid w:val="00CC41F9"/>
    <w:rsid w:val="00CE6D48"/>
    <w:rsid w:val="00E40C14"/>
    <w:rsid w:val="00E932BF"/>
    <w:rsid w:val="00EA1B5D"/>
    <w:rsid w:val="00EE5304"/>
    <w:rsid w:val="00EF6D08"/>
    <w:rsid w:val="00F00E08"/>
    <w:rsid w:val="00F04F2D"/>
    <w:rsid w:val="00F4427D"/>
    <w:rsid w:val="00FC5008"/>
    <w:rsid w:val="00FF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E6"/>
    <w:pPr>
      <w:ind w:left="720"/>
      <w:contextualSpacing/>
    </w:pPr>
  </w:style>
  <w:style w:type="table" w:styleId="TableGrid">
    <w:name w:val="Table Grid"/>
    <w:basedOn w:val="TableNormal"/>
    <w:uiPriority w:val="59"/>
    <w:rsid w:val="00B72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E6"/>
    <w:pPr>
      <w:ind w:left="720"/>
      <w:contextualSpacing/>
    </w:pPr>
  </w:style>
  <w:style w:type="table" w:styleId="TableGrid">
    <w:name w:val="Table Grid"/>
    <w:basedOn w:val="TableNormal"/>
    <w:uiPriority w:val="59"/>
    <w:rsid w:val="00B72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2023-12-22T11:49:00Z</dcterms:created>
  <dcterms:modified xsi:type="dcterms:W3CDTF">2023-12-22T11:49:00Z</dcterms:modified>
</cp:coreProperties>
</file>