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Protecting Agricultural Land from Tax Shock</w:t>
      </w:r>
    </w:p>
    <w:p>
      <w:r>
        <w:rPr>
          <w:b/>
        </w:rPr>
        <w:t>Why Agricultural Land Needs a Separate Policy</w:t>
        <w:br/>
      </w:r>
    </w:p>
    <w:p>
      <w:r>
        <w:t>Working agricultural land is assessed, operated, and financed differently than residential property. A separate transition policy ensures fairness without unintended consequences.</w:t>
      </w:r>
    </w:p>
    <w:p>
      <w:r>
        <w:rPr>
          <w:b/>
        </w:rPr>
        <w:t>Who This Applies To</w:t>
        <w:br/>
      </w:r>
    </w:p>
    <w:p>
      <w:r>
        <w:t>• Actively farmed agricultural land</w:t>
        <w:br/>
        <w:t>• Land classified under agricultural use at the time of annexation or consolidation</w:t>
        <w:br/>
        <w:t>• Owner-operated or leased working farmland</w:t>
      </w:r>
    </w:p>
    <w:p>
      <w:r>
        <w:rPr>
          <w:b/>
        </w:rPr>
        <w:t>How the Agricultural Protection Works</w:t>
        <w:br/>
      </w:r>
    </w:p>
    <w:p>
      <w:r>
        <w:t>Agricultural landowners receive a tax stabilization credit that offsets increases caused by annexation or consolidation while the land remains in agricultural use.</w:t>
      </w:r>
    </w:p>
    <w:p>
      <w:r>
        <w:rPr>
          <w:b/>
        </w:rPr>
        <w:t>Duration of Protection</w:t>
        <w:br/>
      </w:r>
    </w:p>
    <w:p>
      <w:r>
        <w:t>The protection remains in place as long as the land continues to be actively farmed and under the same ownership. Once sold or converted to development, the standard Town tax rate applies.</w:t>
      </w:r>
    </w:p>
    <w:p>
      <w:r>
        <w:rPr>
          <w:b/>
        </w:rPr>
        <w:t>Why This Matters</w:t>
        <w:br/>
      </w:r>
    </w:p>
    <w:p>
      <w:r>
        <w:t>Farmers should not be pressured to sell land simply because taxes increase due to government boundary changes. This policy preserves farmland while allowing responsible growth.</w:t>
      </w:r>
    </w:p>
    <w:p>
      <w:r>
        <w:rPr>
          <w:b/>
        </w:rPr>
        <w:t>How This Links to Homeowner Protections</w:t>
        <w:br/>
      </w:r>
    </w:p>
    <w:p>
      <w:r>
        <w:t>This policy works alongside the homeowner tax phase-in. Two separate policies, one shared principle: no one should be forced out by taxes due to annexation or consolidation.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